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A021" w14:textId="7DE906ED" w:rsidR="00487F1B" w:rsidRPr="007C75C1" w:rsidRDefault="00583449" w:rsidP="00646AF2">
      <w:pPr>
        <w:rPr>
          <w:color w:val="1F497D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069B8FE1" wp14:editId="5D8978B8">
            <wp:simplePos x="0" y="0"/>
            <wp:positionH relativeFrom="column">
              <wp:posOffset>-685800</wp:posOffset>
            </wp:positionH>
            <wp:positionV relativeFrom="paragraph">
              <wp:posOffset>-914400</wp:posOffset>
            </wp:positionV>
            <wp:extent cx="7572375" cy="18478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3FDBD" w14:textId="77777777" w:rsidR="00487F1B" w:rsidRDefault="00487F1B" w:rsidP="00487F1B">
      <w:pPr>
        <w:rPr>
          <w:color w:val="1F497D"/>
        </w:rPr>
      </w:pPr>
    </w:p>
    <w:p w14:paraId="7409F6ED" w14:textId="77777777" w:rsidR="00D3498F" w:rsidRDefault="00D3498F" w:rsidP="00487F1B">
      <w:pPr>
        <w:rPr>
          <w:color w:val="1F497D"/>
        </w:rPr>
      </w:pPr>
    </w:p>
    <w:p w14:paraId="3D52D5F0" w14:textId="77777777" w:rsidR="00D3498F" w:rsidRDefault="00D3498F" w:rsidP="00487F1B">
      <w:pPr>
        <w:rPr>
          <w:color w:val="1F497D"/>
        </w:rPr>
      </w:pPr>
    </w:p>
    <w:p w14:paraId="2DE63686" w14:textId="2C74848D" w:rsidR="00D3498F" w:rsidRDefault="00583449" w:rsidP="00487F1B">
      <w:pPr>
        <w:rPr>
          <w:color w:val="1F497D"/>
        </w:rPr>
      </w:pPr>
      <w:r w:rsidRPr="007C75C1">
        <w:rPr>
          <w:noProof/>
          <w:color w:val="1F497D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8EB6051" wp14:editId="0DEF3297">
                <wp:simplePos x="0" y="0"/>
                <wp:positionH relativeFrom="column">
                  <wp:posOffset>-695325</wp:posOffset>
                </wp:positionH>
                <wp:positionV relativeFrom="paragraph">
                  <wp:posOffset>196215</wp:posOffset>
                </wp:positionV>
                <wp:extent cx="7561580" cy="39624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1580" cy="3962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E8A82" w14:textId="0C02C755" w:rsidR="00646AF2" w:rsidRPr="00DB2969" w:rsidRDefault="00DB2969" w:rsidP="00646A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ru-RU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B6051" id="Rectangle 12" o:spid="_x0000_s1026" style="position:absolute;margin-left:-54.75pt;margin-top:15.45pt;width:595.4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" o:allowincell="f" fillcolor="navy" stroked="f">
                <v:textbox>
                  <w:txbxContent>
                    <w:p w14:paraId="278E8A82" w14:textId="0C02C755" w:rsidR="00646AF2" w:rsidRPr="00DB2969" w:rsidRDefault="00DB2969" w:rsidP="00646AF2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ru-RU"/>
                        </w:rPr>
                        <w:t>ПРЕСС-РЕЛИЗ</w:t>
                      </w:r>
                    </w:p>
                  </w:txbxContent>
                </v:textbox>
              </v:rect>
            </w:pict>
          </mc:Fallback>
        </mc:AlternateContent>
      </w:r>
    </w:p>
    <w:p w14:paraId="73C68074" w14:textId="77777777" w:rsidR="00D3498F" w:rsidRDefault="00D3498F" w:rsidP="00487F1B">
      <w:pPr>
        <w:rPr>
          <w:color w:val="1F497D"/>
        </w:rPr>
      </w:pPr>
    </w:p>
    <w:p w14:paraId="213AD0D0" w14:textId="77777777" w:rsidR="00D3498F" w:rsidRDefault="00D3498F" w:rsidP="00487F1B">
      <w:pPr>
        <w:rPr>
          <w:color w:val="1F497D"/>
        </w:rPr>
      </w:pPr>
    </w:p>
    <w:p w14:paraId="686979FA" w14:textId="77777777" w:rsidR="00487F1B" w:rsidRPr="00D3498F" w:rsidRDefault="00487F1B" w:rsidP="00D3498F">
      <w:pPr>
        <w:rPr>
          <w:color w:val="1F497D"/>
          <w:sz w:val="20"/>
          <w:szCs w:val="20"/>
        </w:rPr>
      </w:pPr>
    </w:p>
    <w:p w14:paraId="3179516D" w14:textId="77777777" w:rsidR="00487F1B" w:rsidRPr="00D3498F" w:rsidRDefault="00487F1B" w:rsidP="00D3498F">
      <w:pPr>
        <w:spacing w:after="60"/>
        <w:jc w:val="center"/>
        <w:rPr>
          <w:color w:val="1F497D"/>
          <w:sz w:val="20"/>
          <w:szCs w:val="20"/>
          <w:lang w:val="en-US"/>
        </w:rPr>
      </w:pPr>
    </w:p>
    <w:p w14:paraId="657F533D" w14:textId="53017EB0" w:rsidR="00DB4C82" w:rsidRPr="00E661C6" w:rsidRDefault="00E661C6" w:rsidP="00E661C6">
      <w:pPr>
        <w:spacing w:before="100" w:beforeAutospacing="1" w:after="100" w:afterAutospacing="1"/>
        <w:ind w:right="248"/>
        <w:jc w:val="both"/>
        <w:rPr>
          <w:sz w:val="32"/>
          <w:szCs w:val="32"/>
          <w:lang w:val="ru-RU"/>
        </w:rPr>
      </w:pPr>
      <w:r w:rsidRPr="00E661C6">
        <w:rPr>
          <w:sz w:val="32"/>
          <w:szCs w:val="32"/>
          <w:lang w:val="ru-RU"/>
        </w:rPr>
        <w:t>Расширение доступа и доступности медицинских услуг: Таджикистан отмечает прогресс на встречах высокого уровня в феврале при поддержке Европейского союза</w:t>
      </w:r>
    </w:p>
    <w:p w14:paraId="2D5FDED3" w14:textId="3644DF95" w:rsidR="00FD340B" w:rsidRPr="0063312E" w:rsidRDefault="0063312E" w:rsidP="00B77ADF">
      <w:pPr>
        <w:spacing w:before="100" w:beforeAutospacing="1" w:after="100" w:afterAutospacing="1"/>
        <w:ind w:right="1134"/>
        <w:jc w:val="both"/>
        <w:rPr>
          <w:lang w:val="ru-RU"/>
        </w:rPr>
      </w:pPr>
      <w:r>
        <w:rPr>
          <w:b/>
          <w:lang w:val="ru-RU"/>
        </w:rPr>
        <w:t>6 февраля</w:t>
      </w:r>
      <w:r w:rsidR="00D3498F" w:rsidRPr="0063312E">
        <w:rPr>
          <w:b/>
          <w:lang w:val="ru-RU"/>
        </w:rPr>
        <w:t xml:space="preserve"> </w:t>
      </w:r>
      <w:r w:rsidR="009466D2" w:rsidRPr="0063312E">
        <w:rPr>
          <w:b/>
          <w:lang w:val="ru-RU"/>
        </w:rPr>
        <w:t>20</w:t>
      </w:r>
      <w:r w:rsidR="0094106F" w:rsidRPr="0063312E">
        <w:rPr>
          <w:b/>
          <w:lang w:val="ru-RU"/>
        </w:rPr>
        <w:t>2</w:t>
      </w:r>
      <w:r w:rsidR="00D3498F" w:rsidRPr="0063312E">
        <w:rPr>
          <w:b/>
          <w:lang w:val="ru-RU"/>
        </w:rPr>
        <w:t>4</w:t>
      </w:r>
      <w:r w:rsidR="009466D2" w:rsidRPr="0063312E">
        <w:rPr>
          <w:b/>
          <w:lang w:val="ru-RU"/>
        </w:rPr>
        <w:t xml:space="preserve">, </w:t>
      </w:r>
      <w:r>
        <w:rPr>
          <w:b/>
          <w:lang w:val="ru-RU"/>
        </w:rPr>
        <w:t>Душанбе</w:t>
      </w:r>
      <w:r w:rsidR="009466D2" w:rsidRPr="0063312E">
        <w:rPr>
          <w:b/>
          <w:lang w:val="ru-RU"/>
        </w:rPr>
        <w:t xml:space="preserve"> </w:t>
      </w:r>
      <w:r w:rsidR="009466D2" w:rsidRPr="0063312E">
        <w:rPr>
          <w:lang w:val="ru-RU"/>
        </w:rPr>
        <w:t>–</w:t>
      </w:r>
      <w:r w:rsidR="00E324D2" w:rsidRPr="0063312E">
        <w:rPr>
          <w:lang w:val="ru-RU"/>
        </w:rPr>
        <w:t xml:space="preserve"> </w:t>
      </w:r>
    </w:p>
    <w:p w14:paraId="32BE4A03" w14:textId="03EC6070" w:rsidR="007658C1" w:rsidRPr="00EF77E0" w:rsidRDefault="0063312E" w:rsidP="008B3E95">
      <w:pPr>
        <w:spacing w:before="100" w:beforeAutospacing="1" w:after="100" w:afterAutospacing="1"/>
        <w:jc w:val="both"/>
        <w:rPr>
          <w:lang w:val="ru-RU" w:eastAsia="en-US"/>
        </w:rPr>
      </w:pPr>
      <w:r w:rsidRPr="0063312E">
        <w:rPr>
          <w:lang w:val="ru-RU" w:eastAsia="en-US"/>
        </w:rPr>
        <w:t>Таджикистан добивается значительных успехов в реформировании системы здравоохранения, стремясь обеспечить доступность основных медицинских услуг для всех граждан без финансовых затруднений. Твердая приверженность стране принципам всеобщего охвата медицинскими услугами (</w:t>
      </w:r>
      <w:r>
        <w:rPr>
          <w:lang w:val="ru-RU" w:eastAsia="en-US"/>
        </w:rPr>
        <w:t>ВОУЗ</w:t>
      </w:r>
      <w:r w:rsidRPr="0063312E">
        <w:rPr>
          <w:lang w:val="ru-RU" w:eastAsia="en-US"/>
        </w:rPr>
        <w:t>) была подчеркнута на двух ключевых мероприятиях, состоявшихся в феврале 2025 года: Круглом столе высокого уровня, организованном Всемирной организацией здравоохранения (ВОЗ), и Совместном ежегодном обзоре</w:t>
      </w:r>
      <w:r w:rsidR="00EF77E0">
        <w:rPr>
          <w:lang w:val="ru-RU" w:eastAsia="en-US"/>
        </w:rPr>
        <w:t xml:space="preserve"> четвертого года реализации Национальной стратегии охраны здоровья населения</w:t>
      </w:r>
      <w:r w:rsidRPr="0063312E">
        <w:rPr>
          <w:lang w:val="ru-RU" w:eastAsia="en-US"/>
        </w:rPr>
        <w:t>, проведённом Министерством здравоохранения и социальной защиты населения. Оба события стали возможны благодаря финансовой поддержке Европейского союза (ЕС).</w:t>
      </w:r>
      <w:r>
        <w:rPr>
          <w:lang w:val="ru-RU" w:eastAsia="en-US"/>
        </w:rPr>
        <w:t xml:space="preserve"> </w:t>
      </w:r>
    </w:p>
    <w:p w14:paraId="492A251D" w14:textId="4CA42DDF" w:rsidR="007658C1" w:rsidRPr="00EF77E0" w:rsidRDefault="00EF77E0" w:rsidP="008B3E95">
      <w:pPr>
        <w:spacing w:before="100" w:beforeAutospacing="1" w:after="100" w:afterAutospacing="1"/>
        <w:jc w:val="both"/>
        <w:rPr>
          <w:b/>
          <w:bCs/>
          <w:lang w:val="ru-RU" w:eastAsia="en-US"/>
        </w:rPr>
      </w:pPr>
      <w:r w:rsidRPr="00EF77E0">
        <w:rPr>
          <w:b/>
          <w:bCs/>
          <w:lang w:val="ru-RU" w:eastAsia="en-US"/>
        </w:rPr>
        <w:t>Круглый стол высокого уровня: новаторские реформы финансирования здравоохранения</w:t>
      </w:r>
    </w:p>
    <w:p w14:paraId="5916AA3F" w14:textId="77777777" w:rsidR="00EF77E0" w:rsidRDefault="00EF77E0" w:rsidP="008B3E95">
      <w:pPr>
        <w:spacing w:before="100" w:beforeAutospacing="1" w:after="100" w:afterAutospacing="1"/>
        <w:jc w:val="both"/>
        <w:rPr>
          <w:lang w:val="ru-RU" w:eastAsia="en-US"/>
        </w:rPr>
      </w:pPr>
      <w:r w:rsidRPr="00EF77E0">
        <w:rPr>
          <w:lang w:val="ru-RU" w:eastAsia="en-US"/>
        </w:rPr>
        <w:t xml:space="preserve">Круглый стол высокого уровня был посвящен ходу реформ финансирования здравоохранения, в частности запуску инновационной пилотной программы в Согдийской области, которая началась 1 января 2025 года. В рамках этого пилотного проекта внедряются новые механизмы финансирования здравоохранения для учреждений первичной медико-санитарной помощи в пяти районах и городах: </w:t>
      </w:r>
      <w:proofErr w:type="spellStart"/>
      <w:r w:rsidRPr="00EF77E0">
        <w:rPr>
          <w:lang w:val="ru-RU" w:eastAsia="en-US"/>
        </w:rPr>
        <w:t>Деваштич</w:t>
      </w:r>
      <w:proofErr w:type="spellEnd"/>
      <w:r w:rsidRPr="00EF77E0">
        <w:rPr>
          <w:lang w:val="ru-RU" w:eastAsia="en-US"/>
        </w:rPr>
        <w:t xml:space="preserve">, Ашт, </w:t>
      </w:r>
      <w:proofErr w:type="spellStart"/>
      <w:r w:rsidRPr="00EF77E0">
        <w:rPr>
          <w:lang w:val="ru-RU" w:eastAsia="en-US"/>
        </w:rPr>
        <w:t>Шахристон</w:t>
      </w:r>
      <w:proofErr w:type="spellEnd"/>
      <w:r w:rsidRPr="00EF77E0">
        <w:rPr>
          <w:lang w:val="ru-RU" w:eastAsia="en-US"/>
        </w:rPr>
        <w:t xml:space="preserve">, </w:t>
      </w:r>
      <w:proofErr w:type="spellStart"/>
      <w:r w:rsidRPr="00EF77E0">
        <w:rPr>
          <w:lang w:val="ru-RU" w:eastAsia="en-US"/>
        </w:rPr>
        <w:t>Кухистони</w:t>
      </w:r>
      <w:proofErr w:type="spellEnd"/>
      <w:r w:rsidRPr="00EF77E0">
        <w:rPr>
          <w:lang w:val="ru-RU" w:eastAsia="en-US"/>
        </w:rPr>
        <w:t xml:space="preserve"> </w:t>
      </w:r>
      <w:proofErr w:type="spellStart"/>
      <w:r w:rsidRPr="00EF77E0">
        <w:rPr>
          <w:lang w:val="ru-RU" w:eastAsia="en-US"/>
        </w:rPr>
        <w:t>Мастчох</w:t>
      </w:r>
      <w:proofErr w:type="spellEnd"/>
      <w:r w:rsidRPr="00EF77E0">
        <w:rPr>
          <w:lang w:val="ru-RU" w:eastAsia="en-US"/>
        </w:rPr>
        <w:t xml:space="preserve"> и </w:t>
      </w:r>
      <w:proofErr w:type="spellStart"/>
      <w:r w:rsidRPr="00EF77E0">
        <w:rPr>
          <w:lang w:val="ru-RU" w:eastAsia="en-US"/>
        </w:rPr>
        <w:t>Истиклол</w:t>
      </w:r>
      <w:proofErr w:type="spellEnd"/>
      <w:r w:rsidRPr="00EF77E0">
        <w:rPr>
          <w:lang w:val="ru-RU" w:eastAsia="en-US"/>
        </w:rPr>
        <w:t>.</w:t>
      </w:r>
      <w:r w:rsidRPr="00EF77E0">
        <w:rPr>
          <w:lang w:val="ru-RU" w:eastAsia="en-US"/>
        </w:rPr>
        <w:t xml:space="preserve"> </w:t>
      </w:r>
    </w:p>
    <w:p w14:paraId="2822EC11" w14:textId="7BF368B0" w:rsidR="007658C1" w:rsidRPr="00EF77E0" w:rsidRDefault="00EF77E0" w:rsidP="008B3E95">
      <w:pPr>
        <w:spacing w:before="100" w:beforeAutospacing="1" w:after="100" w:afterAutospacing="1"/>
        <w:jc w:val="both"/>
        <w:rPr>
          <w:lang w:val="ru-RU" w:eastAsia="en-US"/>
        </w:rPr>
      </w:pPr>
      <w:r w:rsidRPr="00EF77E0">
        <w:rPr>
          <w:i/>
          <w:iCs/>
          <w:lang w:val="ru-RU" w:eastAsia="en-US"/>
        </w:rPr>
        <w:t xml:space="preserve">«Принятие Постановления 438, которое формализует внедрение новых механизмов финансирования здравоохранения в Согдийской области, является важной вехой на пути Таджикистана к современной и устойчивой системе здравоохранения», </w:t>
      </w:r>
      <w:r w:rsidRPr="00EF77E0">
        <w:rPr>
          <w:lang w:val="ru-RU" w:eastAsia="en-US"/>
        </w:rPr>
        <w:t xml:space="preserve">- </w:t>
      </w:r>
      <w:r>
        <w:rPr>
          <w:lang w:val="ru-RU" w:eastAsia="en-US"/>
        </w:rPr>
        <w:t>отметил</w:t>
      </w:r>
      <w:r w:rsidRPr="00EF77E0">
        <w:rPr>
          <w:lang w:val="ru-RU" w:eastAsia="en-US"/>
        </w:rPr>
        <w:t xml:space="preserve"> </w:t>
      </w:r>
      <w:proofErr w:type="spellStart"/>
      <w:r w:rsidRPr="00EF77E0">
        <w:rPr>
          <w:lang w:val="ru-RU" w:eastAsia="en-US"/>
        </w:rPr>
        <w:t>Курбониён</w:t>
      </w:r>
      <w:proofErr w:type="spellEnd"/>
      <w:r w:rsidRPr="00EF77E0">
        <w:rPr>
          <w:lang w:val="ru-RU" w:eastAsia="en-US"/>
        </w:rPr>
        <w:t xml:space="preserve"> Сарвар </w:t>
      </w:r>
      <w:proofErr w:type="spellStart"/>
      <w:r w:rsidRPr="00EF77E0">
        <w:rPr>
          <w:lang w:val="ru-RU" w:eastAsia="en-US"/>
        </w:rPr>
        <w:t>Собир</w:t>
      </w:r>
      <w:proofErr w:type="spellEnd"/>
      <w:r w:rsidRPr="00EF77E0">
        <w:rPr>
          <w:lang w:val="ru-RU" w:eastAsia="en-US"/>
        </w:rPr>
        <w:t xml:space="preserve">, </w:t>
      </w:r>
      <w:r w:rsidRPr="00EF77E0">
        <w:rPr>
          <w:lang w:val="ru-RU" w:eastAsia="en-US"/>
        </w:rPr>
        <w:t xml:space="preserve">Заместитель Министра </w:t>
      </w:r>
      <w:r w:rsidRPr="00EF77E0">
        <w:rPr>
          <w:lang w:val="ru-RU" w:eastAsia="en-US"/>
        </w:rPr>
        <w:t>финансов Республики Таджикистан.</w:t>
      </w:r>
    </w:p>
    <w:p w14:paraId="5EC70BD6" w14:textId="36A9009F" w:rsidR="007658C1" w:rsidRPr="00EF77E0" w:rsidRDefault="00EF77E0" w:rsidP="00EF77E0">
      <w:pPr>
        <w:spacing w:before="100" w:beforeAutospacing="1" w:after="100" w:afterAutospacing="1"/>
        <w:jc w:val="both"/>
        <w:rPr>
          <w:lang w:val="ru-RU" w:eastAsia="en-US"/>
        </w:rPr>
      </w:pPr>
      <w:r w:rsidRPr="00EF77E0">
        <w:rPr>
          <w:lang w:val="ru-RU" w:eastAsia="en-US"/>
        </w:rPr>
        <w:t xml:space="preserve">Ключевым элементом реформы является переход к модели финансирования, основанной на результатах, при которой поставщики медицинских услуг получают вознаграждение в зависимости от качества предоставляемой помощи. Этот подход не только дает медицинским учреждениям большую автономию в принятии решений, но и способствует более эффективному управлению государственными средствами, что </w:t>
      </w:r>
      <w:proofErr w:type="gramStart"/>
      <w:r w:rsidRPr="00EF77E0">
        <w:rPr>
          <w:lang w:val="ru-RU" w:eastAsia="en-US"/>
        </w:rPr>
        <w:t>в конечном итоге</w:t>
      </w:r>
      <w:proofErr w:type="gramEnd"/>
      <w:r w:rsidRPr="00EF77E0">
        <w:rPr>
          <w:lang w:val="ru-RU" w:eastAsia="en-US"/>
        </w:rPr>
        <w:t xml:space="preserve"> приносит пользу здоровью населения.</w:t>
      </w:r>
      <w:r>
        <w:rPr>
          <w:lang w:val="ru-RU" w:eastAsia="en-US"/>
        </w:rPr>
        <w:t xml:space="preserve"> </w:t>
      </w:r>
      <w:r w:rsidRPr="00EF77E0">
        <w:rPr>
          <w:lang w:val="ru-RU" w:eastAsia="en-US"/>
        </w:rPr>
        <w:t xml:space="preserve">В ходе </w:t>
      </w:r>
      <w:r w:rsidRPr="00EF77E0">
        <w:rPr>
          <w:lang w:val="ru-RU" w:eastAsia="en-US"/>
        </w:rPr>
        <w:t>Кругло</w:t>
      </w:r>
      <w:r w:rsidRPr="00EF77E0">
        <w:rPr>
          <w:lang w:val="ru-RU" w:eastAsia="en-US"/>
        </w:rPr>
        <w:t>го стола заинтересованные стороны обсудили потенциал масштабирования этих реформ по всей стране и подчеркнули важность стратегических закупок как одного из ключевых инструментов для комплексной трансформации системы здравоохранения.</w:t>
      </w:r>
    </w:p>
    <w:p w14:paraId="609280B3" w14:textId="25116958" w:rsidR="00EF77E0" w:rsidRDefault="00EF77E0" w:rsidP="00271A71">
      <w:pPr>
        <w:widowControl w:val="0"/>
        <w:autoSpaceDE w:val="0"/>
        <w:autoSpaceDN w:val="0"/>
        <w:contextualSpacing/>
        <w:jc w:val="both"/>
        <w:rPr>
          <w:lang w:val="ru-RU" w:eastAsia="en-US"/>
        </w:rPr>
      </w:pPr>
      <w:r w:rsidRPr="00EF77E0">
        <w:rPr>
          <w:lang w:val="ru-RU" w:eastAsia="en-US"/>
        </w:rPr>
        <w:t xml:space="preserve">В рамках круглого стола эксперты ВОЗ представили результаты ключевого исследования финансирования первичной медико-санитарной помощи, предоставив ценную информацию о </w:t>
      </w:r>
      <w:r w:rsidRPr="00EF77E0">
        <w:rPr>
          <w:lang w:val="ru-RU" w:eastAsia="en-US"/>
        </w:rPr>
        <w:lastRenderedPageBreak/>
        <w:t>возможных вариантах политики.</w:t>
      </w:r>
      <w:r w:rsidRPr="00EF77E0">
        <w:rPr>
          <w:lang w:val="ru-RU" w:eastAsia="en-US"/>
        </w:rPr>
        <w:t xml:space="preserve"> </w:t>
      </w:r>
    </w:p>
    <w:p w14:paraId="5A7A71BB" w14:textId="77777777" w:rsidR="00EF77E0" w:rsidRDefault="00EF77E0" w:rsidP="00271A71">
      <w:pPr>
        <w:widowControl w:val="0"/>
        <w:autoSpaceDE w:val="0"/>
        <w:autoSpaceDN w:val="0"/>
        <w:contextualSpacing/>
        <w:jc w:val="both"/>
        <w:rPr>
          <w:lang w:val="ru-RU" w:eastAsia="en-US"/>
        </w:rPr>
      </w:pPr>
    </w:p>
    <w:p w14:paraId="151DEB69" w14:textId="06C7E7DE" w:rsidR="007658C1" w:rsidRPr="00EF77E0" w:rsidRDefault="007658C1" w:rsidP="00271A71">
      <w:pPr>
        <w:widowControl w:val="0"/>
        <w:autoSpaceDE w:val="0"/>
        <w:autoSpaceDN w:val="0"/>
        <w:contextualSpacing/>
        <w:jc w:val="both"/>
        <w:rPr>
          <w:rFonts w:eastAsia="SimSun"/>
          <w:i/>
          <w:iCs/>
          <w:sz w:val="20"/>
          <w:szCs w:val="20"/>
          <w:lang w:val="ru-RU" w:bidi="en-US"/>
        </w:rPr>
      </w:pPr>
      <w:r w:rsidRPr="00EF77E0">
        <w:rPr>
          <w:i/>
          <w:iCs/>
          <w:lang w:val="ru-RU" w:eastAsia="en-US"/>
        </w:rPr>
        <w:t>“</w:t>
      </w:r>
      <w:r w:rsidR="00EF77E0" w:rsidRPr="00EF77E0">
        <w:rPr>
          <w:i/>
          <w:iCs/>
          <w:lang w:val="ru-RU" w:eastAsia="en-US"/>
        </w:rPr>
        <w:t xml:space="preserve">Тесное сотрудничество между Министерством здравоохранения и социальной защиты населения и Министерством финансов имело важное значение для продвижения этих критически важных реформ финансирования здравоохранения. Кроме того, техническая экспертиза ВОЗ и финансовая поддержка Европейского союза стали ключевыми факторами, сделавшими этот прогресс возможным», - </w:t>
      </w:r>
      <w:r w:rsidR="00EF77E0">
        <w:rPr>
          <w:lang w:val="ru-RU" w:eastAsia="en-US"/>
        </w:rPr>
        <w:t>отметил</w:t>
      </w:r>
      <w:r w:rsidR="00EF77E0" w:rsidRPr="00EF77E0">
        <w:rPr>
          <w:lang w:val="ru-RU" w:eastAsia="en-US"/>
        </w:rPr>
        <w:t xml:space="preserve"> </w:t>
      </w:r>
      <w:r w:rsidR="00EF77E0" w:rsidRPr="00EF77E0">
        <w:rPr>
          <w:lang w:val="ru-RU" w:eastAsia="en-US"/>
        </w:rPr>
        <w:t xml:space="preserve">Первый Заместитель Министра </w:t>
      </w:r>
      <w:r w:rsidR="00EF77E0" w:rsidRPr="00EF77E0">
        <w:rPr>
          <w:lang w:val="ru-RU" w:eastAsia="en-US"/>
        </w:rPr>
        <w:t xml:space="preserve">здравоохранения и социальной защиты Республики Таджикистан, д-р Гафур </w:t>
      </w:r>
      <w:proofErr w:type="spellStart"/>
      <w:r w:rsidR="00EF77E0" w:rsidRPr="00EF77E0">
        <w:rPr>
          <w:lang w:val="ru-RU" w:eastAsia="en-US"/>
        </w:rPr>
        <w:t>Мухсинзода</w:t>
      </w:r>
      <w:proofErr w:type="spellEnd"/>
      <w:r w:rsidR="00EF77E0" w:rsidRPr="00EF77E0">
        <w:rPr>
          <w:lang w:val="ru-RU" w:eastAsia="en-US"/>
        </w:rPr>
        <w:t>.</w:t>
      </w:r>
    </w:p>
    <w:p w14:paraId="642CE963" w14:textId="77777777" w:rsidR="004F02EA" w:rsidRPr="00EF77E0" w:rsidRDefault="004F02EA" w:rsidP="00271A71">
      <w:pPr>
        <w:spacing w:before="100" w:beforeAutospacing="1" w:after="100" w:afterAutospacing="1"/>
        <w:jc w:val="both"/>
        <w:rPr>
          <w:b/>
          <w:bCs/>
          <w:lang w:val="ru-RU" w:eastAsia="en-US"/>
        </w:rPr>
      </w:pPr>
    </w:p>
    <w:p w14:paraId="05419CCA" w14:textId="2CCAF1BA" w:rsidR="00A73BAA" w:rsidRPr="00BC7F55" w:rsidRDefault="00BC7F55" w:rsidP="00271A71">
      <w:pPr>
        <w:spacing w:before="100" w:beforeAutospacing="1" w:after="100" w:afterAutospacing="1"/>
        <w:jc w:val="both"/>
        <w:rPr>
          <w:b/>
          <w:bCs/>
          <w:lang w:val="ru-RU" w:eastAsia="en-US"/>
        </w:rPr>
      </w:pPr>
      <w:r w:rsidRPr="00BC7F55">
        <w:rPr>
          <w:b/>
          <w:bCs/>
          <w:lang w:val="ru-RU" w:eastAsia="en-US"/>
        </w:rPr>
        <w:t>Совместный ежегодный обзор: ЕС и ВОЗ высоко оценивают прогресс Таджикистана в секторе здравоохранения и призывают ускорить меры по улучшению доступа к медицинским услугам</w:t>
      </w:r>
    </w:p>
    <w:p w14:paraId="181DAABE" w14:textId="2E87E2CE" w:rsidR="007658C1" w:rsidRPr="00BC7F55" w:rsidRDefault="00BC7F55" w:rsidP="00271A71">
      <w:pPr>
        <w:spacing w:before="100" w:beforeAutospacing="1" w:after="100" w:afterAutospacing="1"/>
        <w:jc w:val="both"/>
        <w:rPr>
          <w:lang w:val="ru-RU" w:eastAsia="en-US"/>
        </w:rPr>
      </w:pPr>
      <w:r w:rsidRPr="00BC7F55">
        <w:rPr>
          <w:lang w:val="ru-RU" w:eastAsia="en-US"/>
        </w:rPr>
        <w:t xml:space="preserve">В преддверии </w:t>
      </w:r>
      <w:r w:rsidRPr="00BC7F55">
        <w:rPr>
          <w:lang w:val="ru-RU" w:eastAsia="en-US"/>
        </w:rPr>
        <w:t>Круглого Стола</w:t>
      </w:r>
      <w:r>
        <w:rPr>
          <w:lang w:val="ru-RU" w:eastAsia="en-US"/>
        </w:rPr>
        <w:t>,</w:t>
      </w:r>
      <w:r w:rsidRPr="00BC7F55">
        <w:rPr>
          <w:lang w:val="ru-RU" w:eastAsia="en-US"/>
        </w:rPr>
        <w:t xml:space="preserve"> </w:t>
      </w:r>
      <w:r w:rsidRPr="00BC7F55">
        <w:rPr>
          <w:lang w:val="ru-RU" w:eastAsia="en-US"/>
        </w:rPr>
        <w:t xml:space="preserve">ЕС и ВОЗ поддержали Министерство здравоохранения и социальной защиты в организации совместного ежегодного обзора Стратегии охраны здоровья населения до 2030 года. Мероприятие, состоявшееся 5 февраля, собрало представителей </w:t>
      </w:r>
      <w:r>
        <w:rPr>
          <w:lang w:val="ru-RU" w:eastAsia="en-US"/>
        </w:rPr>
        <w:t>П</w:t>
      </w:r>
      <w:r w:rsidRPr="00BC7F55">
        <w:rPr>
          <w:lang w:val="ru-RU" w:eastAsia="en-US"/>
        </w:rPr>
        <w:t>равительства и партнеров по развитию для подведения итогов года и определения ключевых приоритетов на 2025 год.</w:t>
      </w:r>
    </w:p>
    <w:p w14:paraId="1FB91329" w14:textId="46953E85" w:rsidR="00CF75FB" w:rsidRPr="00157C0A" w:rsidRDefault="00157C0A" w:rsidP="00157C0A">
      <w:pPr>
        <w:spacing w:before="240" w:line="276" w:lineRule="auto"/>
        <w:jc w:val="both"/>
        <w:rPr>
          <w:iCs/>
          <w:lang w:val="ru-RU"/>
        </w:rPr>
      </w:pPr>
      <w:r>
        <w:rPr>
          <w:i/>
          <w:lang w:val="ru-RU"/>
        </w:rPr>
        <w:t>«</w:t>
      </w:r>
      <w:r w:rsidRPr="00157C0A">
        <w:rPr>
          <w:i/>
          <w:lang w:val="ru-RU"/>
        </w:rPr>
        <w:t>Действия Европейского Союза направлены на достижение всеобщего охвата услугами здравоохранения (</w:t>
      </w:r>
      <w:r>
        <w:rPr>
          <w:i/>
          <w:lang w:val="ru-RU"/>
        </w:rPr>
        <w:t>ВОУЗ</w:t>
      </w:r>
      <w:r w:rsidRPr="00157C0A">
        <w:rPr>
          <w:i/>
          <w:lang w:val="ru-RU"/>
        </w:rPr>
        <w:t xml:space="preserve">) и обеспечение благополучия и жизни граждан во всем мире. Мы гордимся тем, что поддерживаем Национальную стратегию </w:t>
      </w:r>
      <w:r>
        <w:rPr>
          <w:i/>
          <w:lang w:val="ru-RU"/>
        </w:rPr>
        <w:t>охраны здоровья населения</w:t>
      </w:r>
      <w:r w:rsidRPr="00157C0A">
        <w:rPr>
          <w:i/>
          <w:lang w:val="ru-RU"/>
        </w:rPr>
        <w:t xml:space="preserve"> Таджикистана и ее достижение через нашу Программу развития здравоохранения. Решение проблем здравоохранения в меняющемся мире должно оставаться приоритетом</w:t>
      </w:r>
      <w:r>
        <w:rPr>
          <w:i/>
          <w:lang w:val="ru-RU"/>
        </w:rPr>
        <w:t xml:space="preserve">» - </w:t>
      </w:r>
      <w:r w:rsidRPr="00157C0A">
        <w:rPr>
          <w:iCs/>
          <w:lang w:val="ru-RU"/>
        </w:rPr>
        <w:t xml:space="preserve">подчеркнула Изабель </w:t>
      </w:r>
      <w:proofErr w:type="spellStart"/>
      <w:r w:rsidRPr="00157C0A">
        <w:rPr>
          <w:iCs/>
          <w:lang w:val="ru-RU"/>
        </w:rPr>
        <w:t>Ури</w:t>
      </w:r>
      <w:r>
        <w:rPr>
          <w:iCs/>
          <w:lang w:val="ru-RU"/>
        </w:rPr>
        <w:t>з</w:t>
      </w:r>
      <w:proofErr w:type="spellEnd"/>
      <w:r w:rsidRPr="00157C0A">
        <w:rPr>
          <w:iCs/>
          <w:lang w:val="ru-RU"/>
        </w:rPr>
        <w:t xml:space="preserve"> Эрнандес, Глава Отдела по сотрудничеству, Делегация ЕС в Таджикистане.</w:t>
      </w:r>
      <w:r w:rsidR="00B141E8" w:rsidRPr="00157C0A">
        <w:rPr>
          <w:iCs/>
          <w:lang w:val="ru-RU"/>
        </w:rPr>
        <w:t xml:space="preserve"> </w:t>
      </w:r>
    </w:p>
    <w:p w14:paraId="5834D32B" w14:textId="60DB3EC0" w:rsidR="00190174" w:rsidRPr="00157C0A" w:rsidRDefault="00157C0A" w:rsidP="00271A71">
      <w:pPr>
        <w:spacing w:before="100" w:beforeAutospacing="1" w:after="100" w:afterAutospacing="1"/>
        <w:jc w:val="both"/>
        <w:rPr>
          <w:lang w:val="ru-RU" w:eastAsia="en-US"/>
        </w:rPr>
      </w:pPr>
      <w:r w:rsidRPr="00157C0A">
        <w:rPr>
          <w:lang w:val="ru-RU" w:eastAsia="en-US"/>
        </w:rPr>
        <w:t xml:space="preserve">ВОЗ представлял д-р Игорь </w:t>
      </w:r>
      <w:proofErr w:type="spellStart"/>
      <w:r w:rsidRPr="00157C0A">
        <w:rPr>
          <w:lang w:val="ru-RU" w:eastAsia="en-US"/>
        </w:rPr>
        <w:t>Поканевич</w:t>
      </w:r>
      <w:proofErr w:type="spellEnd"/>
      <w:r w:rsidRPr="00157C0A">
        <w:rPr>
          <w:lang w:val="ru-RU" w:eastAsia="en-US"/>
        </w:rPr>
        <w:t xml:space="preserve">, </w:t>
      </w:r>
      <w:r>
        <w:rPr>
          <w:lang w:val="ru-RU" w:eastAsia="en-US"/>
        </w:rPr>
        <w:t>С</w:t>
      </w:r>
      <w:r w:rsidRPr="00157C0A">
        <w:rPr>
          <w:lang w:val="ru-RU" w:eastAsia="en-US"/>
        </w:rPr>
        <w:t xml:space="preserve">тарший </w:t>
      </w:r>
      <w:r>
        <w:rPr>
          <w:lang w:val="ru-RU" w:eastAsia="en-US"/>
        </w:rPr>
        <w:t>специалист по международным отношениям</w:t>
      </w:r>
      <w:r w:rsidRPr="00157C0A">
        <w:rPr>
          <w:lang w:val="ru-RU" w:eastAsia="en-US"/>
        </w:rPr>
        <w:t xml:space="preserve"> ВОЗ в Нью-Йорке и бывший </w:t>
      </w:r>
      <w:r>
        <w:rPr>
          <w:lang w:val="ru-RU" w:eastAsia="en-US"/>
        </w:rPr>
        <w:t>П</w:t>
      </w:r>
      <w:r w:rsidRPr="00157C0A">
        <w:rPr>
          <w:lang w:val="ru-RU" w:eastAsia="en-US"/>
        </w:rPr>
        <w:t xml:space="preserve">редставитель ВОЗ в Таджикистане. Д-р </w:t>
      </w:r>
      <w:proofErr w:type="spellStart"/>
      <w:r w:rsidRPr="00157C0A">
        <w:rPr>
          <w:lang w:val="ru-RU" w:eastAsia="en-US"/>
        </w:rPr>
        <w:t>Поканевич</w:t>
      </w:r>
      <w:proofErr w:type="spellEnd"/>
      <w:r w:rsidRPr="00157C0A">
        <w:rPr>
          <w:lang w:val="ru-RU" w:eastAsia="en-US"/>
        </w:rPr>
        <w:t xml:space="preserve"> высоко оценил достижения системы здравоохранения страны</w:t>
      </w:r>
      <w:r w:rsidR="007658C1" w:rsidRPr="00157C0A">
        <w:rPr>
          <w:lang w:val="ru-RU" w:eastAsia="en-US"/>
        </w:rPr>
        <w:t xml:space="preserve">. </w:t>
      </w:r>
    </w:p>
    <w:p w14:paraId="44B0D62C" w14:textId="10C6AD24" w:rsidR="00113EC6" w:rsidRPr="00157C0A" w:rsidRDefault="00113EC6" w:rsidP="00271A71">
      <w:pPr>
        <w:spacing w:before="100" w:beforeAutospacing="1" w:after="100" w:afterAutospacing="1"/>
        <w:jc w:val="both"/>
        <w:rPr>
          <w:lang w:val="ru-RU"/>
        </w:rPr>
      </w:pPr>
      <w:r w:rsidRPr="00157C0A">
        <w:rPr>
          <w:i/>
          <w:iCs/>
          <w:lang w:val="ru-RU"/>
        </w:rPr>
        <w:t>"</w:t>
      </w:r>
      <w:r w:rsidR="00157C0A" w:rsidRPr="00157C0A">
        <w:rPr>
          <w:i/>
          <w:iCs/>
          <w:lang w:val="ru-RU"/>
        </w:rPr>
        <w:t xml:space="preserve">Я высоко оцениваю выдающиеся достижения Министерства здравоохранения и социальной защиты за последнее десятилетие, особенно в продвижении реформ системы здравоохранения. Однако важно сохранить этот импульс. Учитывая глобальные вызовы и меняющийся геополитический ландшафт, как никогда необходимо работать вместе для достижения долгосрочного воздействия. ВОЗ остается полностью приверженной поддержке Таджикистана в построении устойчивой и справедливой системы здравоохранения», </w:t>
      </w:r>
      <w:r w:rsidR="00157C0A" w:rsidRPr="00157C0A">
        <w:rPr>
          <w:lang w:val="ru-RU"/>
        </w:rPr>
        <w:t xml:space="preserve">— заявил д-р </w:t>
      </w:r>
      <w:proofErr w:type="spellStart"/>
      <w:r w:rsidR="00157C0A" w:rsidRPr="00157C0A">
        <w:rPr>
          <w:lang w:val="ru-RU"/>
        </w:rPr>
        <w:t>Поканевич</w:t>
      </w:r>
      <w:proofErr w:type="spellEnd"/>
      <w:r w:rsidRPr="00157C0A">
        <w:rPr>
          <w:lang w:val="ru-RU"/>
        </w:rPr>
        <w:t>.</w:t>
      </w:r>
    </w:p>
    <w:p w14:paraId="4167A1B9" w14:textId="77777777" w:rsidR="00157C0A" w:rsidRDefault="00157C0A" w:rsidP="00271A71">
      <w:pPr>
        <w:spacing w:before="100" w:beforeAutospacing="1" w:after="100" w:afterAutospacing="1"/>
        <w:jc w:val="both"/>
        <w:rPr>
          <w:b/>
          <w:bCs/>
          <w:lang w:val="ru-RU" w:eastAsia="en-US"/>
        </w:rPr>
      </w:pPr>
      <w:r w:rsidRPr="00157C0A">
        <w:rPr>
          <w:b/>
          <w:bCs/>
          <w:lang w:val="ru-RU" w:eastAsia="en-US"/>
        </w:rPr>
        <w:t>Вклад Европейского Союза в сектор здравоохранения Таджикистана</w:t>
      </w:r>
    </w:p>
    <w:p w14:paraId="2AF69C9A" w14:textId="02533AD4" w:rsidR="00762EAA" w:rsidRPr="00157C0A" w:rsidRDefault="00157C0A" w:rsidP="00271A71">
      <w:pPr>
        <w:spacing w:before="100" w:beforeAutospacing="1" w:after="100" w:afterAutospacing="1"/>
        <w:jc w:val="both"/>
        <w:rPr>
          <w:lang w:val="ru-RU" w:eastAsia="en-US"/>
        </w:rPr>
      </w:pPr>
      <w:r w:rsidRPr="00157C0A">
        <w:rPr>
          <w:lang w:val="ru-RU" w:eastAsia="en-US"/>
        </w:rPr>
        <w:t>2025 год знаменует собой последний год финансируемой ЕС Программы развития здравоохранения (</w:t>
      </w:r>
      <w:r w:rsidR="00DB2969" w:rsidRPr="00157C0A">
        <w:rPr>
          <w:lang w:val="ru-RU" w:eastAsia="en-US"/>
        </w:rPr>
        <w:t>2021–2025</w:t>
      </w:r>
      <w:r w:rsidRPr="00157C0A">
        <w:rPr>
          <w:lang w:val="ru-RU" w:eastAsia="en-US"/>
        </w:rPr>
        <w:t>). Эта программа направлена ​​на укрепление управления первичной медико-санитарной помощью, финансирования и доступа к основным услугам, включая амбулаторные лекарства. При финансовой и технической поддержке ЕС помогает Таджикистану построить более устойчивую и справедливую систему здравоохранения, продвигая цель страны по</w:t>
      </w:r>
      <w:r>
        <w:rPr>
          <w:lang w:val="ru-RU" w:eastAsia="en-US"/>
        </w:rPr>
        <w:t xml:space="preserve"> переходу ко</w:t>
      </w:r>
      <w:r w:rsidRPr="00157C0A">
        <w:rPr>
          <w:lang w:val="ru-RU" w:eastAsia="en-US"/>
        </w:rPr>
        <w:t xml:space="preserve"> всеобщему охвату услугами здравоохранения. За последнее десятилетие ЕС инвестировал более 60 миллионов евро в поддержку этих усилий.</w:t>
      </w:r>
    </w:p>
    <w:p w14:paraId="6FEEC664" w14:textId="77777777" w:rsidR="00D3498F" w:rsidRPr="00157C0A" w:rsidRDefault="00D3498F" w:rsidP="00D3498F">
      <w:pPr>
        <w:spacing w:before="100" w:beforeAutospacing="1" w:after="100" w:afterAutospacing="1"/>
        <w:ind w:right="1134"/>
        <w:jc w:val="both"/>
        <w:rPr>
          <w:lang w:val="ru-RU"/>
        </w:rPr>
      </w:pPr>
    </w:p>
    <w:p w14:paraId="1FEA2CE9" w14:textId="7A2CBAA2" w:rsidR="00D3498F" w:rsidRPr="00157C0A" w:rsidRDefault="00157C0A" w:rsidP="004B5F0F">
      <w:pPr>
        <w:rPr>
          <w:lang w:val="ru-RU"/>
        </w:rPr>
      </w:pPr>
      <w:r w:rsidRPr="00157C0A">
        <w:rPr>
          <w:lang w:val="ru-RU"/>
        </w:rPr>
        <w:t xml:space="preserve">Для получения более подробной информации обращайтесь к </w:t>
      </w:r>
      <w:r>
        <w:rPr>
          <w:lang w:val="ru-RU"/>
        </w:rPr>
        <w:t>Малике Хакимовой</w:t>
      </w:r>
      <w:r w:rsidRPr="00157C0A">
        <w:rPr>
          <w:lang w:val="ru-RU"/>
        </w:rPr>
        <w:t xml:space="preserve"> по адресу </w:t>
      </w:r>
      <w:hyperlink r:id="rId9" w:history="1">
        <w:r w:rsidRPr="007A4CEA">
          <w:rPr>
            <w:rStyle w:val="Hyperlink"/>
            <w:lang w:val="en-US"/>
          </w:rPr>
          <w:t>khakimovam</w:t>
        </w:r>
        <w:r w:rsidRPr="007A4CEA">
          <w:rPr>
            <w:rStyle w:val="Hyperlink"/>
            <w:lang w:val="ru-RU"/>
          </w:rPr>
          <w:t>@</w:t>
        </w:r>
        <w:r w:rsidRPr="007A4CEA">
          <w:rPr>
            <w:rStyle w:val="Hyperlink"/>
            <w:lang w:val="en-US"/>
          </w:rPr>
          <w:t>who</w:t>
        </w:r>
        <w:r w:rsidRPr="007A4CEA">
          <w:rPr>
            <w:rStyle w:val="Hyperlink"/>
            <w:lang w:val="ru-RU"/>
          </w:rPr>
          <w:t>.</w:t>
        </w:r>
        <w:r w:rsidRPr="007A4CEA">
          <w:rPr>
            <w:rStyle w:val="Hyperlink"/>
            <w:lang w:val="en-US"/>
          </w:rPr>
          <w:t>int</w:t>
        </w:r>
      </w:hyperlink>
      <w:r w:rsidRPr="00157C0A">
        <w:rPr>
          <w:lang w:val="ru-RU"/>
        </w:rPr>
        <w:t xml:space="preserve"> </w:t>
      </w:r>
    </w:p>
    <w:p w14:paraId="75C9B517" w14:textId="77777777" w:rsidR="00D3498F" w:rsidRPr="00157C0A" w:rsidRDefault="00D3498F" w:rsidP="00D3498F">
      <w:pPr>
        <w:spacing w:before="100" w:beforeAutospacing="1" w:after="100" w:afterAutospacing="1"/>
        <w:ind w:right="1134"/>
        <w:jc w:val="both"/>
        <w:rPr>
          <w:lang w:val="en-US"/>
        </w:rPr>
      </w:pPr>
    </w:p>
    <w:tbl>
      <w:tblPr>
        <w:tblW w:w="9900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240"/>
        <w:gridCol w:w="3960"/>
      </w:tblGrid>
      <w:tr w:rsidR="00487F1B" w:rsidRPr="00486627" w14:paraId="0F90D315" w14:textId="77777777" w:rsidTr="00D3498F">
        <w:tc>
          <w:tcPr>
            <w:tcW w:w="2700" w:type="dxa"/>
          </w:tcPr>
          <w:p w14:paraId="56353A60" w14:textId="77777777" w:rsidR="00487F1B" w:rsidRPr="00DE3B36" w:rsidRDefault="00487F1B" w:rsidP="006228CC">
            <w:pPr>
              <w:jc w:val="both"/>
              <w:rPr>
                <w:sz w:val="16"/>
                <w:szCs w:val="16"/>
                <w:lang w:val="en-TT"/>
              </w:rPr>
            </w:pPr>
            <w:r w:rsidRPr="00DE3B36">
              <w:rPr>
                <w:sz w:val="16"/>
                <w:szCs w:val="16"/>
                <w:lang w:val="en-TT"/>
              </w:rPr>
              <w:t xml:space="preserve">A project </w:t>
            </w:r>
            <w:proofErr w:type="gramStart"/>
            <w:r w:rsidRPr="00DE3B36">
              <w:rPr>
                <w:sz w:val="16"/>
                <w:szCs w:val="16"/>
                <w:lang w:val="en-TT"/>
              </w:rPr>
              <w:t>implemented</w:t>
            </w:r>
            <w:proofErr w:type="gramEnd"/>
          </w:p>
          <w:p w14:paraId="530D5B00" w14:textId="77777777" w:rsidR="00487F1B" w:rsidRDefault="00487F1B" w:rsidP="006D4190">
            <w:pPr>
              <w:ind w:right="65"/>
              <w:jc w:val="both"/>
              <w:rPr>
                <w:sz w:val="16"/>
                <w:szCs w:val="16"/>
                <w:lang w:val="en-TT"/>
              </w:rPr>
            </w:pPr>
          </w:p>
          <w:p w14:paraId="4268FEF1" w14:textId="77777777" w:rsidR="00487F1B" w:rsidRPr="00DE3B36" w:rsidRDefault="00487F1B" w:rsidP="00BA79FA">
            <w:pPr>
              <w:ind w:right="65"/>
              <w:jc w:val="both"/>
              <w:rPr>
                <w:lang w:val="en-TT"/>
              </w:rPr>
            </w:pPr>
          </w:p>
        </w:tc>
        <w:tc>
          <w:tcPr>
            <w:tcW w:w="3240" w:type="dxa"/>
          </w:tcPr>
          <w:p w14:paraId="51094BA0" w14:textId="7EC73D03" w:rsidR="00487F1B" w:rsidRPr="00DE3B36" w:rsidRDefault="00583449" w:rsidP="006D4190">
            <w:pPr>
              <w:ind w:left="1134" w:right="1134"/>
              <w:jc w:val="both"/>
              <w:rPr>
                <w:sz w:val="16"/>
                <w:szCs w:val="16"/>
                <w:lang w:val="en-T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18DAB209" wp14:editId="63DBB54D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75565</wp:posOffset>
                  </wp:positionV>
                  <wp:extent cx="622300" cy="414655"/>
                  <wp:effectExtent l="0" t="0" r="0" b="0"/>
                  <wp:wrapSquare wrapText="bothSides"/>
                  <wp:docPr id="13" name="Picture 1" descr="Y:\INFO-PRESS\EU symbols\EU logos - For projects\EU_normal-reproduction-low-resolu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INFO-PRESS\EU symbols\EU logos - For projects\EU_normal-reproduction-low-resolu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A71E6D" w14:textId="77777777" w:rsidR="0073706F" w:rsidRPr="001F5702" w:rsidRDefault="0073706F" w:rsidP="006D4190">
            <w:pPr>
              <w:tabs>
                <w:tab w:val="center" w:pos="1422"/>
              </w:tabs>
              <w:ind w:left="1134" w:right="72"/>
              <w:jc w:val="both"/>
              <w:rPr>
                <w:sz w:val="16"/>
                <w:szCs w:val="16"/>
              </w:rPr>
            </w:pPr>
            <w:r w:rsidRPr="001F5702">
              <w:rPr>
                <w:sz w:val="16"/>
                <w:szCs w:val="16"/>
              </w:rPr>
              <w:t>This project is funded</w:t>
            </w:r>
          </w:p>
          <w:p w14:paraId="62472B9D" w14:textId="77777777" w:rsidR="0073706F" w:rsidRPr="001F5702" w:rsidRDefault="0073706F" w:rsidP="006D4190">
            <w:pPr>
              <w:ind w:left="1134" w:right="72"/>
              <w:jc w:val="both"/>
              <w:rPr>
                <w:sz w:val="16"/>
                <w:szCs w:val="16"/>
              </w:rPr>
            </w:pPr>
            <w:r w:rsidRPr="001F5702">
              <w:rPr>
                <w:sz w:val="16"/>
                <w:szCs w:val="16"/>
              </w:rPr>
              <w:t>by the European Union</w:t>
            </w:r>
          </w:p>
          <w:p w14:paraId="5F611527" w14:textId="77777777" w:rsidR="0073706F" w:rsidRPr="001F5702" w:rsidRDefault="0073706F" w:rsidP="006D4190">
            <w:pPr>
              <w:ind w:left="1134" w:right="1134"/>
              <w:jc w:val="both"/>
              <w:rPr>
                <w:sz w:val="16"/>
                <w:szCs w:val="16"/>
              </w:rPr>
            </w:pPr>
          </w:p>
          <w:p w14:paraId="2A756152" w14:textId="77777777" w:rsidR="0073706F" w:rsidRPr="001F5702" w:rsidRDefault="0073706F" w:rsidP="006D4190">
            <w:pPr>
              <w:tabs>
                <w:tab w:val="left" w:pos="3499"/>
              </w:tabs>
              <w:ind w:left="79" w:right="72"/>
              <w:jc w:val="both"/>
              <w:rPr>
                <w:sz w:val="16"/>
                <w:szCs w:val="16"/>
              </w:rPr>
            </w:pPr>
            <w:r w:rsidRPr="001F5702">
              <w:rPr>
                <w:sz w:val="16"/>
                <w:szCs w:val="16"/>
              </w:rPr>
              <w:t>Delegation of the European Union</w:t>
            </w:r>
            <w:r w:rsidR="00F10492">
              <w:rPr>
                <w:sz w:val="16"/>
                <w:szCs w:val="16"/>
              </w:rPr>
              <w:t xml:space="preserve"> t</w:t>
            </w:r>
            <w:r w:rsidRPr="001F5702">
              <w:rPr>
                <w:sz w:val="16"/>
                <w:szCs w:val="16"/>
              </w:rPr>
              <w:t>o the Republic of Tajikistan</w:t>
            </w:r>
          </w:p>
          <w:p w14:paraId="74234CB2" w14:textId="77777777" w:rsidR="0073706F" w:rsidRPr="001F5702" w:rsidRDefault="0073706F" w:rsidP="006D4190">
            <w:pPr>
              <w:tabs>
                <w:tab w:val="left" w:pos="3499"/>
              </w:tabs>
              <w:ind w:left="79" w:right="72"/>
              <w:jc w:val="both"/>
              <w:rPr>
                <w:sz w:val="16"/>
                <w:szCs w:val="16"/>
              </w:rPr>
            </w:pPr>
          </w:p>
          <w:p w14:paraId="09423491" w14:textId="77777777" w:rsidR="0073706F" w:rsidRPr="001F5702" w:rsidRDefault="0073706F" w:rsidP="006D4190">
            <w:pPr>
              <w:tabs>
                <w:tab w:val="left" w:pos="3499"/>
              </w:tabs>
              <w:ind w:left="79" w:right="72"/>
              <w:jc w:val="both"/>
              <w:rPr>
                <w:sz w:val="16"/>
                <w:szCs w:val="16"/>
              </w:rPr>
            </w:pPr>
            <w:r w:rsidRPr="001F5702">
              <w:rPr>
                <w:sz w:val="16"/>
                <w:szCs w:val="16"/>
              </w:rPr>
              <w:t>74 Adhamov Street</w:t>
            </w:r>
          </w:p>
          <w:p w14:paraId="4BE7415E" w14:textId="77777777" w:rsidR="0073706F" w:rsidRPr="001F5702" w:rsidRDefault="0073706F" w:rsidP="006D4190">
            <w:pPr>
              <w:tabs>
                <w:tab w:val="left" w:pos="3499"/>
              </w:tabs>
              <w:ind w:left="79" w:right="72"/>
              <w:jc w:val="both"/>
              <w:rPr>
                <w:sz w:val="16"/>
                <w:szCs w:val="16"/>
              </w:rPr>
            </w:pPr>
            <w:r w:rsidRPr="001F5702">
              <w:rPr>
                <w:sz w:val="16"/>
                <w:szCs w:val="16"/>
              </w:rPr>
              <w:t>734013 Dushanbe, Republic of Tajikistan</w:t>
            </w:r>
          </w:p>
          <w:p w14:paraId="01C390D0" w14:textId="77777777" w:rsidR="0073706F" w:rsidRPr="001F5702" w:rsidRDefault="0073706F" w:rsidP="006D4190">
            <w:pPr>
              <w:tabs>
                <w:tab w:val="left" w:pos="3499"/>
              </w:tabs>
              <w:ind w:left="79" w:right="72"/>
              <w:jc w:val="both"/>
              <w:rPr>
                <w:sz w:val="16"/>
                <w:szCs w:val="16"/>
                <w:lang w:val="pt-PT"/>
              </w:rPr>
            </w:pPr>
            <w:r w:rsidRPr="001F5702">
              <w:rPr>
                <w:sz w:val="16"/>
                <w:szCs w:val="16"/>
                <w:lang w:val="pt-PT"/>
              </w:rPr>
              <w:t xml:space="preserve">Tel:  (+992 37) 221 74 07, 227 10 24 </w:t>
            </w:r>
          </w:p>
          <w:p w14:paraId="469730FC" w14:textId="77777777" w:rsidR="001F5702" w:rsidRPr="001F5702" w:rsidRDefault="00000000" w:rsidP="001F5702">
            <w:pPr>
              <w:tabs>
                <w:tab w:val="left" w:pos="3499"/>
              </w:tabs>
              <w:ind w:left="79" w:right="72"/>
              <w:jc w:val="both"/>
              <w:rPr>
                <w:sz w:val="16"/>
                <w:szCs w:val="16"/>
                <w:lang w:val="pt-PT"/>
              </w:rPr>
            </w:pPr>
            <w:hyperlink r:id="rId11" w:history="1">
              <w:r w:rsidR="0073706F" w:rsidRPr="001F5702">
                <w:rPr>
                  <w:rStyle w:val="Hyperlink"/>
                  <w:sz w:val="16"/>
                  <w:szCs w:val="16"/>
                  <w:lang w:val="pt-PT"/>
                </w:rPr>
                <w:t>Delegation-Tajikistan-Pic@eeas.europa.eu</w:t>
              </w:r>
            </w:hyperlink>
            <w:r w:rsidR="0073706F" w:rsidRPr="001F5702">
              <w:rPr>
                <w:sz w:val="16"/>
                <w:szCs w:val="16"/>
                <w:lang w:val="pt-PT"/>
              </w:rPr>
              <w:t xml:space="preserve">  </w:t>
            </w:r>
            <w:r w:rsidR="001F5702" w:rsidRPr="001F5702">
              <w:rPr>
                <w:sz w:val="16"/>
                <w:szCs w:val="16"/>
                <w:lang w:val="pt-PT"/>
              </w:rPr>
              <w:t xml:space="preserve"> </w:t>
            </w:r>
          </w:p>
          <w:p w14:paraId="313F20F2" w14:textId="63428726" w:rsidR="001F5702" w:rsidRPr="001F5702" w:rsidRDefault="00583449" w:rsidP="001F5702">
            <w:pPr>
              <w:rPr>
                <w:lang w:val="pt-PT" w:eastAsia="en-US" w:bidi="ar-JO"/>
              </w:rPr>
            </w:pPr>
            <w:r w:rsidRPr="003C52B8">
              <w:rPr>
                <w:noProof/>
              </w:rPr>
              <w:drawing>
                <wp:inline distT="0" distB="0" distL="0" distR="0" wp14:anchorId="18ECB600" wp14:editId="209A873A">
                  <wp:extent cx="293370" cy="293370"/>
                  <wp:effectExtent l="0" t="0" r="0" b="0"/>
                  <wp:docPr id="1" name="Picture 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5702" w:rsidRPr="001F5702">
              <w:rPr>
                <w:lang w:val="pt-PT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C0ED05A" wp14:editId="42D77CFB">
                  <wp:extent cx="267335" cy="267335"/>
                  <wp:effectExtent l="0" t="0" r="0" b="0"/>
                  <wp:docPr id="2" name="Picture 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5702" w:rsidRPr="001F5702">
              <w:rPr>
                <w:lang w:val="pt-PT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F5BE8EE" wp14:editId="3C3B7C23">
                  <wp:extent cx="250190" cy="250190"/>
                  <wp:effectExtent l="0" t="0" r="0" b="0"/>
                  <wp:docPr id="3" name="Picture 3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1672">
              <w:t xml:space="preserve"> </w:t>
            </w:r>
            <w:r w:rsidRPr="00C936D0">
              <w:rPr>
                <w:noProof/>
              </w:rPr>
              <w:drawing>
                <wp:inline distT="0" distB="0" distL="0" distR="0" wp14:anchorId="3403E34E" wp14:editId="48342F8A">
                  <wp:extent cx="276225" cy="276225"/>
                  <wp:effectExtent l="0" t="0" r="0" b="0"/>
                  <wp:docPr id="4" name="Picture 1" descr="Y:\INFO-PRESS\Website and Social Media\Delegation Social Media\Instagram\ig-logo-email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INFO-PRESS\Website and Social Media\Delegation Social Media\Instagram\ig-logo-em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DFB5E2" w14:textId="77777777" w:rsidR="00487F1B" w:rsidRPr="00C76637" w:rsidRDefault="00487F1B" w:rsidP="006D4190">
            <w:pPr>
              <w:tabs>
                <w:tab w:val="left" w:pos="2592"/>
                <w:tab w:val="left" w:pos="3499"/>
              </w:tabs>
              <w:ind w:left="79" w:right="72"/>
              <w:rPr>
                <w:sz w:val="16"/>
                <w:szCs w:val="16"/>
                <w:lang w:val="pt-PT"/>
              </w:rPr>
            </w:pPr>
          </w:p>
        </w:tc>
        <w:tc>
          <w:tcPr>
            <w:tcW w:w="3960" w:type="dxa"/>
          </w:tcPr>
          <w:p w14:paraId="6A51945D" w14:textId="77777777" w:rsidR="00486627" w:rsidRPr="006D4190" w:rsidRDefault="00486627" w:rsidP="006D4190">
            <w:pPr>
              <w:ind w:left="1134" w:right="1134"/>
              <w:jc w:val="both"/>
              <w:rPr>
                <w:sz w:val="16"/>
                <w:szCs w:val="16"/>
                <w:lang w:val="pt-PT"/>
              </w:rPr>
            </w:pPr>
          </w:p>
          <w:p w14:paraId="56B597E3" w14:textId="77777777" w:rsidR="00487F1B" w:rsidRPr="00537E5F" w:rsidRDefault="00486627" w:rsidP="00627411">
            <w:pPr>
              <w:tabs>
                <w:tab w:val="left" w:pos="2420"/>
              </w:tabs>
              <w:ind w:left="65" w:right="-33"/>
              <w:jc w:val="both"/>
              <w:rPr>
                <w:sz w:val="16"/>
                <w:szCs w:val="16"/>
              </w:rPr>
            </w:pPr>
            <w:r w:rsidRPr="00486627">
              <w:rPr>
                <w:sz w:val="16"/>
                <w:szCs w:val="16"/>
              </w:rPr>
              <w:t>The European Union is made up of 2</w:t>
            </w:r>
            <w:r w:rsidR="00627411">
              <w:rPr>
                <w:sz w:val="16"/>
                <w:szCs w:val="16"/>
              </w:rPr>
              <w:t>7</w:t>
            </w:r>
            <w:r w:rsidRPr="00486627">
              <w:rPr>
                <w:sz w:val="16"/>
                <w:szCs w:val="16"/>
              </w:rPr>
              <w:t xml:space="preserve"> Member States who have decided to gradually link together their know-how, </w:t>
            </w:r>
            <w:proofErr w:type="gramStart"/>
            <w:r w:rsidRPr="00486627">
              <w:rPr>
                <w:sz w:val="16"/>
                <w:szCs w:val="16"/>
              </w:rPr>
              <w:t>resources</w:t>
            </w:r>
            <w:proofErr w:type="gramEnd"/>
            <w:r w:rsidRPr="00486627">
              <w:rPr>
                <w:sz w:val="16"/>
                <w:szCs w:val="16"/>
              </w:rPr>
              <w:t xml:space="preserve"> and destinies. Together, during a period of enlargement</w:t>
            </w:r>
            <w:r w:rsidR="00653B93">
              <w:rPr>
                <w:sz w:val="16"/>
                <w:szCs w:val="16"/>
              </w:rPr>
              <w:t xml:space="preserve"> of 6</w:t>
            </w:r>
            <w:r w:rsidRPr="00486627">
              <w:rPr>
                <w:sz w:val="16"/>
                <w:szCs w:val="16"/>
              </w:rPr>
              <w:t>0 years, they have built a zone of stability, democracy and sustainable development whilst maintaining cultural diversity, tolerance and individual freedoms. The European Union is committed to sharing its achievements and its values with countries</w:t>
            </w:r>
            <w:r w:rsidR="005B7053">
              <w:rPr>
                <w:sz w:val="16"/>
                <w:szCs w:val="16"/>
              </w:rPr>
              <w:t xml:space="preserve"> and peoples beyond its borders</w:t>
            </w:r>
            <w:r w:rsidRPr="00486627">
              <w:rPr>
                <w:sz w:val="16"/>
                <w:szCs w:val="16"/>
              </w:rPr>
              <w:t>.</w:t>
            </w:r>
            <w:r w:rsidR="005B7053" w:rsidRPr="00537E5F">
              <w:rPr>
                <w:sz w:val="16"/>
                <w:szCs w:val="16"/>
              </w:rPr>
              <w:t xml:space="preserve"> </w:t>
            </w:r>
            <w:r w:rsidR="00502E09" w:rsidRPr="00502E09">
              <w:rPr>
                <w:sz w:val="16"/>
                <w:szCs w:val="16"/>
              </w:rPr>
              <w:t xml:space="preserve">To this end the EU is active in Tajikistan since 1992 </w:t>
            </w:r>
            <w:r w:rsidR="00FD2FA9">
              <w:rPr>
                <w:sz w:val="16"/>
                <w:szCs w:val="16"/>
              </w:rPr>
              <w:t xml:space="preserve">and provides approximately EUR </w:t>
            </w:r>
            <w:r w:rsidR="00FD2FA9" w:rsidRPr="00FD2FA9">
              <w:rPr>
                <w:sz w:val="16"/>
                <w:szCs w:val="16"/>
              </w:rPr>
              <w:t>3</w:t>
            </w:r>
            <w:r w:rsidR="00502E09" w:rsidRPr="00502E09">
              <w:rPr>
                <w:sz w:val="16"/>
                <w:szCs w:val="16"/>
              </w:rPr>
              <w:t>5 million</w:t>
            </w:r>
            <w:r w:rsidR="00502E09">
              <w:rPr>
                <w:sz w:val="16"/>
                <w:szCs w:val="16"/>
              </w:rPr>
              <w:t xml:space="preserve"> annually</w:t>
            </w:r>
            <w:r w:rsidR="00502E09" w:rsidRPr="00502E09">
              <w:rPr>
                <w:sz w:val="16"/>
                <w:szCs w:val="16"/>
              </w:rPr>
              <w:t xml:space="preserve"> in development assistance</w:t>
            </w:r>
            <w:r w:rsidR="00537E5F" w:rsidRPr="00537E5F">
              <w:rPr>
                <w:sz w:val="16"/>
                <w:szCs w:val="16"/>
              </w:rPr>
              <w:t xml:space="preserve">. </w:t>
            </w:r>
          </w:p>
        </w:tc>
      </w:tr>
    </w:tbl>
    <w:p w14:paraId="0DCADDDB" w14:textId="07A80175" w:rsidR="00FA0C00" w:rsidRPr="00486627" w:rsidRDefault="00FA0C00" w:rsidP="0089572F"/>
    <w:sectPr w:rsidR="00FA0C00" w:rsidRPr="00486627" w:rsidSect="00D3498F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E6E0A"/>
    <w:multiLevelType w:val="hybridMultilevel"/>
    <w:tmpl w:val="7A660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02F94"/>
    <w:multiLevelType w:val="hybridMultilevel"/>
    <w:tmpl w:val="97807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D0DF2"/>
    <w:multiLevelType w:val="multilevel"/>
    <w:tmpl w:val="5670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051531"/>
    <w:multiLevelType w:val="multilevel"/>
    <w:tmpl w:val="7FEC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DE2E43"/>
    <w:multiLevelType w:val="multilevel"/>
    <w:tmpl w:val="E24E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6490059">
    <w:abstractNumId w:val="0"/>
  </w:num>
  <w:num w:numId="2" w16cid:durableId="171377386">
    <w:abstractNumId w:val="2"/>
  </w:num>
  <w:num w:numId="3" w16cid:durableId="1004437227">
    <w:abstractNumId w:val="3"/>
  </w:num>
  <w:num w:numId="4" w16cid:durableId="1999570155">
    <w:abstractNumId w:val="4"/>
  </w:num>
  <w:num w:numId="5" w16cid:durableId="1327978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487F1B"/>
    <w:rsid w:val="00000917"/>
    <w:rsid w:val="00001176"/>
    <w:rsid w:val="00001426"/>
    <w:rsid w:val="00003FC9"/>
    <w:rsid w:val="000044D7"/>
    <w:rsid w:val="000050A0"/>
    <w:rsid w:val="000056C2"/>
    <w:rsid w:val="00006CC3"/>
    <w:rsid w:val="0001236A"/>
    <w:rsid w:val="00012E07"/>
    <w:rsid w:val="00016445"/>
    <w:rsid w:val="0002014E"/>
    <w:rsid w:val="000205F3"/>
    <w:rsid w:val="0002142A"/>
    <w:rsid w:val="00021E98"/>
    <w:rsid w:val="00033D34"/>
    <w:rsid w:val="00034614"/>
    <w:rsid w:val="00040620"/>
    <w:rsid w:val="00040CCF"/>
    <w:rsid w:val="00043EBB"/>
    <w:rsid w:val="000458AB"/>
    <w:rsid w:val="00047618"/>
    <w:rsid w:val="00050900"/>
    <w:rsid w:val="00050F2F"/>
    <w:rsid w:val="00052882"/>
    <w:rsid w:val="00052895"/>
    <w:rsid w:val="00052BF6"/>
    <w:rsid w:val="000575E4"/>
    <w:rsid w:val="000600CC"/>
    <w:rsid w:val="0006046C"/>
    <w:rsid w:val="00060B85"/>
    <w:rsid w:val="0006532C"/>
    <w:rsid w:val="00067D34"/>
    <w:rsid w:val="00070EDC"/>
    <w:rsid w:val="00071C29"/>
    <w:rsid w:val="00071F45"/>
    <w:rsid w:val="0007697A"/>
    <w:rsid w:val="00076D37"/>
    <w:rsid w:val="00077046"/>
    <w:rsid w:val="000779AA"/>
    <w:rsid w:val="00077A3E"/>
    <w:rsid w:val="00082BBB"/>
    <w:rsid w:val="00084B41"/>
    <w:rsid w:val="00090A3F"/>
    <w:rsid w:val="00091CDA"/>
    <w:rsid w:val="0009258D"/>
    <w:rsid w:val="00092A7B"/>
    <w:rsid w:val="000931FC"/>
    <w:rsid w:val="000934C0"/>
    <w:rsid w:val="000A2A79"/>
    <w:rsid w:val="000A3F0C"/>
    <w:rsid w:val="000A6A86"/>
    <w:rsid w:val="000A7682"/>
    <w:rsid w:val="000B3F63"/>
    <w:rsid w:val="000B447B"/>
    <w:rsid w:val="000B4797"/>
    <w:rsid w:val="000B4F35"/>
    <w:rsid w:val="000C2314"/>
    <w:rsid w:val="000C32C1"/>
    <w:rsid w:val="000C5A37"/>
    <w:rsid w:val="000C64A5"/>
    <w:rsid w:val="000C79AA"/>
    <w:rsid w:val="000D09B3"/>
    <w:rsid w:val="000D1041"/>
    <w:rsid w:val="000D49C2"/>
    <w:rsid w:val="000D4DBB"/>
    <w:rsid w:val="000D5211"/>
    <w:rsid w:val="000D70B6"/>
    <w:rsid w:val="000E0C07"/>
    <w:rsid w:val="000E212E"/>
    <w:rsid w:val="000E3857"/>
    <w:rsid w:val="000E44AD"/>
    <w:rsid w:val="000E5FE5"/>
    <w:rsid w:val="000F0E5F"/>
    <w:rsid w:val="000F2B76"/>
    <w:rsid w:val="000F2DF3"/>
    <w:rsid w:val="000F3662"/>
    <w:rsid w:val="000F5052"/>
    <w:rsid w:val="00102141"/>
    <w:rsid w:val="00102ED9"/>
    <w:rsid w:val="001031DE"/>
    <w:rsid w:val="00103255"/>
    <w:rsid w:val="00105D34"/>
    <w:rsid w:val="00106195"/>
    <w:rsid w:val="00106962"/>
    <w:rsid w:val="00110D63"/>
    <w:rsid w:val="00110E0F"/>
    <w:rsid w:val="0011106D"/>
    <w:rsid w:val="0011181C"/>
    <w:rsid w:val="00111D2F"/>
    <w:rsid w:val="0011266D"/>
    <w:rsid w:val="001126A3"/>
    <w:rsid w:val="00112F3B"/>
    <w:rsid w:val="00113EC6"/>
    <w:rsid w:val="0011472D"/>
    <w:rsid w:val="00114792"/>
    <w:rsid w:val="001167F6"/>
    <w:rsid w:val="00117005"/>
    <w:rsid w:val="00121AC3"/>
    <w:rsid w:val="00122923"/>
    <w:rsid w:val="00124B91"/>
    <w:rsid w:val="0012781E"/>
    <w:rsid w:val="00130D62"/>
    <w:rsid w:val="0013155D"/>
    <w:rsid w:val="00134A7D"/>
    <w:rsid w:val="00134DD1"/>
    <w:rsid w:val="00135626"/>
    <w:rsid w:val="001357A0"/>
    <w:rsid w:val="00136C72"/>
    <w:rsid w:val="00140554"/>
    <w:rsid w:val="00140A2A"/>
    <w:rsid w:val="00141C75"/>
    <w:rsid w:val="00144292"/>
    <w:rsid w:val="00150A42"/>
    <w:rsid w:val="00152BFB"/>
    <w:rsid w:val="00152D1D"/>
    <w:rsid w:val="00154526"/>
    <w:rsid w:val="00154574"/>
    <w:rsid w:val="00154E22"/>
    <w:rsid w:val="0015715B"/>
    <w:rsid w:val="00157C0A"/>
    <w:rsid w:val="00161719"/>
    <w:rsid w:val="00161A80"/>
    <w:rsid w:val="001620DD"/>
    <w:rsid w:val="001631A3"/>
    <w:rsid w:val="001659A9"/>
    <w:rsid w:val="001670FA"/>
    <w:rsid w:val="001678F8"/>
    <w:rsid w:val="00167DF1"/>
    <w:rsid w:val="00171E7C"/>
    <w:rsid w:val="00172085"/>
    <w:rsid w:val="00174B18"/>
    <w:rsid w:val="001806F4"/>
    <w:rsid w:val="00180F7E"/>
    <w:rsid w:val="00181731"/>
    <w:rsid w:val="001818CF"/>
    <w:rsid w:val="00183722"/>
    <w:rsid w:val="0018619F"/>
    <w:rsid w:val="00187A2B"/>
    <w:rsid w:val="00190174"/>
    <w:rsid w:val="00191865"/>
    <w:rsid w:val="00191938"/>
    <w:rsid w:val="001923E2"/>
    <w:rsid w:val="001926F4"/>
    <w:rsid w:val="0019286C"/>
    <w:rsid w:val="00192DC9"/>
    <w:rsid w:val="0019489F"/>
    <w:rsid w:val="00194CED"/>
    <w:rsid w:val="00196155"/>
    <w:rsid w:val="00196A54"/>
    <w:rsid w:val="00197BD0"/>
    <w:rsid w:val="001A1084"/>
    <w:rsid w:val="001A42CC"/>
    <w:rsid w:val="001A45A0"/>
    <w:rsid w:val="001A64EF"/>
    <w:rsid w:val="001A69C2"/>
    <w:rsid w:val="001A78DA"/>
    <w:rsid w:val="001A79BC"/>
    <w:rsid w:val="001B0C5F"/>
    <w:rsid w:val="001B229C"/>
    <w:rsid w:val="001B3FD7"/>
    <w:rsid w:val="001B4194"/>
    <w:rsid w:val="001B59CA"/>
    <w:rsid w:val="001B5DB3"/>
    <w:rsid w:val="001B7053"/>
    <w:rsid w:val="001B74EF"/>
    <w:rsid w:val="001C0E21"/>
    <w:rsid w:val="001C18B3"/>
    <w:rsid w:val="001C5DF8"/>
    <w:rsid w:val="001C635F"/>
    <w:rsid w:val="001C77A6"/>
    <w:rsid w:val="001D113C"/>
    <w:rsid w:val="001D14AA"/>
    <w:rsid w:val="001D4EA4"/>
    <w:rsid w:val="001D6142"/>
    <w:rsid w:val="001D6194"/>
    <w:rsid w:val="001D683F"/>
    <w:rsid w:val="001E0520"/>
    <w:rsid w:val="001E1008"/>
    <w:rsid w:val="001E3771"/>
    <w:rsid w:val="001E3A8C"/>
    <w:rsid w:val="001E3C0C"/>
    <w:rsid w:val="001E6789"/>
    <w:rsid w:val="001E6B1E"/>
    <w:rsid w:val="001E6CA6"/>
    <w:rsid w:val="001F22FF"/>
    <w:rsid w:val="001F4575"/>
    <w:rsid w:val="001F4D9C"/>
    <w:rsid w:val="001F510D"/>
    <w:rsid w:val="001F5702"/>
    <w:rsid w:val="001F67C9"/>
    <w:rsid w:val="002010DE"/>
    <w:rsid w:val="00201C37"/>
    <w:rsid w:val="00202CDE"/>
    <w:rsid w:val="00203EE8"/>
    <w:rsid w:val="002071AB"/>
    <w:rsid w:val="00207726"/>
    <w:rsid w:val="00207C62"/>
    <w:rsid w:val="0021247E"/>
    <w:rsid w:val="002127A1"/>
    <w:rsid w:val="00215DB3"/>
    <w:rsid w:val="002169AF"/>
    <w:rsid w:val="002273AC"/>
    <w:rsid w:val="00227FA9"/>
    <w:rsid w:val="00233500"/>
    <w:rsid w:val="002339BA"/>
    <w:rsid w:val="0023697D"/>
    <w:rsid w:val="00236E04"/>
    <w:rsid w:val="00236E76"/>
    <w:rsid w:val="00240CF6"/>
    <w:rsid w:val="00240FE6"/>
    <w:rsid w:val="002416D6"/>
    <w:rsid w:val="00241F1C"/>
    <w:rsid w:val="0024418F"/>
    <w:rsid w:val="00244E67"/>
    <w:rsid w:val="00247D01"/>
    <w:rsid w:val="0025135C"/>
    <w:rsid w:val="0025326E"/>
    <w:rsid w:val="00253F10"/>
    <w:rsid w:val="00263628"/>
    <w:rsid w:val="0026428D"/>
    <w:rsid w:val="002648D0"/>
    <w:rsid w:val="00264C0C"/>
    <w:rsid w:val="0026523E"/>
    <w:rsid w:val="00271A71"/>
    <w:rsid w:val="0027357A"/>
    <w:rsid w:val="00273DCE"/>
    <w:rsid w:val="002756C9"/>
    <w:rsid w:val="00275F95"/>
    <w:rsid w:val="00286017"/>
    <w:rsid w:val="00292257"/>
    <w:rsid w:val="00292F27"/>
    <w:rsid w:val="00293583"/>
    <w:rsid w:val="00294B2D"/>
    <w:rsid w:val="00297BE1"/>
    <w:rsid w:val="002A26A9"/>
    <w:rsid w:val="002A2AD8"/>
    <w:rsid w:val="002A4E1C"/>
    <w:rsid w:val="002A70B0"/>
    <w:rsid w:val="002B2382"/>
    <w:rsid w:val="002B2C9B"/>
    <w:rsid w:val="002B4308"/>
    <w:rsid w:val="002B58D3"/>
    <w:rsid w:val="002C0FC9"/>
    <w:rsid w:val="002C2C7C"/>
    <w:rsid w:val="002C52A4"/>
    <w:rsid w:val="002C7AA1"/>
    <w:rsid w:val="002D1B3E"/>
    <w:rsid w:val="002D1E83"/>
    <w:rsid w:val="002D26F0"/>
    <w:rsid w:val="002D2C5A"/>
    <w:rsid w:val="002E0ECC"/>
    <w:rsid w:val="002E2CF6"/>
    <w:rsid w:val="002E397B"/>
    <w:rsid w:val="002E39A4"/>
    <w:rsid w:val="002E64C6"/>
    <w:rsid w:val="002E7B23"/>
    <w:rsid w:val="002F2933"/>
    <w:rsid w:val="00300169"/>
    <w:rsid w:val="003008B6"/>
    <w:rsid w:val="00303CD6"/>
    <w:rsid w:val="00306DE0"/>
    <w:rsid w:val="00307FB3"/>
    <w:rsid w:val="00310285"/>
    <w:rsid w:val="00310A46"/>
    <w:rsid w:val="00313098"/>
    <w:rsid w:val="00315391"/>
    <w:rsid w:val="0031627B"/>
    <w:rsid w:val="0032048D"/>
    <w:rsid w:val="00321A95"/>
    <w:rsid w:val="003228BF"/>
    <w:rsid w:val="00322F0E"/>
    <w:rsid w:val="00324908"/>
    <w:rsid w:val="00325262"/>
    <w:rsid w:val="00331397"/>
    <w:rsid w:val="003313FE"/>
    <w:rsid w:val="0033144B"/>
    <w:rsid w:val="003316E9"/>
    <w:rsid w:val="00332BAC"/>
    <w:rsid w:val="00334E4D"/>
    <w:rsid w:val="003351E4"/>
    <w:rsid w:val="00335D67"/>
    <w:rsid w:val="0033789C"/>
    <w:rsid w:val="00341A27"/>
    <w:rsid w:val="00342A46"/>
    <w:rsid w:val="00343A0E"/>
    <w:rsid w:val="003501D4"/>
    <w:rsid w:val="0035106E"/>
    <w:rsid w:val="003512DD"/>
    <w:rsid w:val="00353FB5"/>
    <w:rsid w:val="0035441B"/>
    <w:rsid w:val="00356FB1"/>
    <w:rsid w:val="0036047F"/>
    <w:rsid w:val="00361F4B"/>
    <w:rsid w:val="00363612"/>
    <w:rsid w:val="0036365C"/>
    <w:rsid w:val="00365E34"/>
    <w:rsid w:val="00366AB7"/>
    <w:rsid w:val="00366DE0"/>
    <w:rsid w:val="00366FC3"/>
    <w:rsid w:val="003675C7"/>
    <w:rsid w:val="003676FA"/>
    <w:rsid w:val="00370511"/>
    <w:rsid w:val="003711F3"/>
    <w:rsid w:val="003718E8"/>
    <w:rsid w:val="00371F07"/>
    <w:rsid w:val="00373095"/>
    <w:rsid w:val="0037375A"/>
    <w:rsid w:val="00374DAD"/>
    <w:rsid w:val="00374E86"/>
    <w:rsid w:val="00375940"/>
    <w:rsid w:val="003769CC"/>
    <w:rsid w:val="00377010"/>
    <w:rsid w:val="003773B8"/>
    <w:rsid w:val="0038059D"/>
    <w:rsid w:val="0038070F"/>
    <w:rsid w:val="0038219F"/>
    <w:rsid w:val="00382BA3"/>
    <w:rsid w:val="00385FFC"/>
    <w:rsid w:val="003870BA"/>
    <w:rsid w:val="003922BC"/>
    <w:rsid w:val="00392E14"/>
    <w:rsid w:val="00393C9B"/>
    <w:rsid w:val="00396E17"/>
    <w:rsid w:val="003A013B"/>
    <w:rsid w:val="003A051D"/>
    <w:rsid w:val="003A1875"/>
    <w:rsid w:val="003A2A67"/>
    <w:rsid w:val="003A3082"/>
    <w:rsid w:val="003A597D"/>
    <w:rsid w:val="003A6E8E"/>
    <w:rsid w:val="003B3907"/>
    <w:rsid w:val="003B43B1"/>
    <w:rsid w:val="003B44BC"/>
    <w:rsid w:val="003B4579"/>
    <w:rsid w:val="003B4B2E"/>
    <w:rsid w:val="003B6AA8"/>
    <w:rsid w:val="003C07C0"/>
    <w:rsid w:val="003D25BD"/>
    <w:rsid w:val="003D4681"/>
    <w:rsid w:val="003D68FD"/>
    <w:rsid w:val="003E072D"/>
    <w:rsid w:val="003E094F"/>
    <w:rsid w:val="003E1B6C"/>
    <w:rsid w:val="003E2DCB"/>
    <w:rsid w:val="003E4BAB"/>
    <w:rsid w:val="003E4FB5"/>
    <w:rsid w:val="003F08E2"/>
    <w:rsid w:val="003F24B3"/>
    <w:rsid w:val="003F2832"/>
    <w:rsid w:val="003F2B0D"/>
    <w:rsid w:val="003F309B"/>
    <w:rsid w:val="003F34D1"/>
    <w:rsid w:val="003F5E59"/>
    <w:rsid w:val="003F62AA"/>
    <w:rsid w:val="003F7644"/>
    <w:rsid w:val="00400B5D"/>
    <w:rsid w:val="00401BBA"/>
    <w:rsid w:val="00401C45"/>
    <w:rsid w:val="004040E2"/>
    <w:rsid w:val="00405F16"/>
    <w:rsid w:val="00406FD3"/>
    <w:rsid w:val="0041007A"/>
    <w:rsid w:val="00410CF5"/>
    <w:rsid w:val="00411329"/>
    <w:rsid w:val="00413E3B"/>
    <w:rsid w:val="00415804"/>
    <w:rsid w:val="00420DC6"/>
    <w:rsid w:val="00421313"/>
    <w:rsid w:val="00421A3A"/>
    <w:rsid w:val="00422FA5"/>
    <w:rsid w:val="00423056"/>
    <w:rsid w:val="004231BC"/>
    <w:rsid w:val="004236CD"/>
    <w:rsid w:val="00424850"/>
    <w:rsid w:val="00425C5C"/>
    <w:rsid w:val="00426018"/>
    <w:rsid w:val="00426916"/>
    <w:rsid w:val="00426BDD"/>
    <w:rsid w:val="00427E79"/>
    <w:rsid w:val="004316BC"/>
    <w:rsid w:val="004357C9"/>
    <w:rsid w:val="0043589C"/>
    <w:rsid w:val="00437F05"/>
    <w:rsid w:val="00440E9F"/>
    <w:rsid w:val="0044129A"/>
    <w:rsid w:val="00441350"/>
    <w:rsid w:val="00443496"/>
    <w:rsid w:val="004438A8"/>
    <w:rsid w:val="00443A3E"/>
    <w:rsid w:val="00444D68"/>
    <w:rsid w:val="00445208"/>
    <w:rsid w:val="00446C28"/>
    <w:rsid w:val="00446E56"/>
    <w:rsid w:val="00447B62"/>
    <w:rsid w:val="004533F0"/>
    <w:rsid w:val="00455117"/>
    <w:rsid w:val="00455860"/>
    <w:rsid w:val="00457611"/>
    <w:rsid w:val="004577B8"/>
    <w:rsid w:val="00460C47"/>
    <w:rsid w:val="00461FDD"/>
    <w:rsid w:val="00464849"/>
    <w:rsid w:val="00465711"/>
    <w:rsid w:val="0046613B"/>
    <w:rsid w:val="00466D06"/>
    <w:rsid w:val="00470905"/>
    <w:rsid w:val="00471030"/>
    <w:rsid w:val="0047175F"/>
    <w:rsid w:val="00472082"/>
    <w:rsid w:val="00472FE6"/>
    <w:rsid w:val="00473918"/>
    <w:rsid w:val="0047419B"/>
    <w:rsid w:val="00474456"/>
    <w:rsid w:val="00474A91"/>
    <w:rsid w:val="00474D6E"/>
    <w:rsid w:val="00475D8F"/>
    <w:rsid w:val="004828DE"/>
    <w:rsid w:val="00484571"/>
    <w:rsid w:val="00484D8B"/>
    <w:rsid w:val="004853A1"/>
    <w:rsid w:val="0048561D"/>
    <w:rsid w:val="00486627"/>
    <w:rsid w:val="004866DE"/>
    <w:rsid w:val="00487F1B"/>
    <w:rsid w:val="00494069"/>
    <w:rsid w:val="00494A96"/>
    <w:rsid w:val="004A08B4"/>
    <w:rsid w:val="004A185D"/>
    <w:rsid w:val="004A2DB5"/>
    <w:rsid w:val="004A361F"/>
    <w:rsid w:val="004A3EB8"/>
    <w:rsid w:val="004A45C2"/>
    <w:rsid w:val="004A45DA"/>
    <w:rsid w:val="004A48B7"/>
    <w:rsid w:val="004A4BF2"/>
    <w:rsid w:val="004B027A"/>
    <w:rsid w:val="004B1F01"/>
    <w:rsid w:val="004B3AA5"/>
    <w:rsid w:val="004B3FFC"/>
    <w:rsid w:val="004B4363"/>
    <w:rsid w:val="004B49C2"/>
    <w:rsid w:val="004B5F0F"/>
    <w:rsid w:val="004B740C"/>
    <w:rsid w:val="004B77C0"/>
    <w:rsid w:val="004C1B05"/>
    <w:rsid w:val="004C2A5E"/>
    <w:rsid w:val="004C52AD"/>
    <w:rsid w:val="004C61C7"/>
    <w:rsid w:val="004C7B6E"/>
    <w:rsid w:val="004D0415"/>
    <w:rsid w:val="004D08EC"/>
    <w:rsid w:val="004D27D7"/>
    <w:rsid w:val="004D5821"/>
    <w:rsid w:val="004E0A91"/>
    <w:rsid w:val="004E1EA4"/>
    <w:rsid w:val="004E2AA1"/>
    <w:rsid w:val="004E2BED"/>
    <w:rsid w:val="004F020D"/>
    <w:rsid w:val="004F02EA"/>
    <w:rsid w:val="004F5088"/>
    <w:rsid w:val="004F5620"/>
    <w:rsid w:val="004F5F6D"/>
    <w:rsid w:val="00502E09"/>
    <w:rsid w:val="00503D59"/>
    <w:rsid w:val="00505455"/>
    <w:rsid w:val="00507CF2"/>
    <w:rsid w:val="00510398"/>
    <w:rsid w:val="00512118"/>
    <w:rsid w:val="00512216"/>
    <w:rsid w:val="005148E9"/>
    <w:rsid w:val="005154FD"/>
    <w:rsid w:val="00523968"/>
    <w:rsid w:val="00524F8C"/>
    <w:rsid w:val="00525ED5"/>
    <w:rsid w:val="005266FB"/>
    <w:rsid w:val="00531895"/>
    <w:rsid w:val="00532599"/>
    <w:rsid w:val="00533D53"/>
    <w:rsid w:val="005347A6"/>
    <w:rsid w:val="00537E5F"/>
    <w:rsid w:val="00542B7D"/>
    <w:rsid w:val="00543BD7"/>
    <w:rsid w:val="00546BCC"/>
    <w:rsid w:val="00546D14"/>
    <w:rsid w:val="00547F78"/>
    <w:rsid w:val="0055547B"/>
    <w:rsid w:val="00555DC1"/>
    <w:rsid w:val="005574EA"/>
    <w:rsid w:val="005601B0"/>
    <w:rsid w:val="00561EA8"/>
    <w:rsid w:val="00562283"/>
    <w:rsid w:val="00562DE9"/>
    <w:rsid w:val="00563989"/>
    <w:rsid w:val="0056664E"/>
    <w:rsid w:val="00566B7C"/>
    <w:rsid w:val="00566D90"/>
    <w:rsid w:val="005670DC"/>
    <w:rsid w:val="00567BDB"/>
    <w:rsid w:val="0057075F"/>
    <w:rsid w:val="00570A1C"/>
    <w:rsid w:val="00572E03"/>
    <w:rsid w:val="0057616E"/>
    <w:rsid w:val="005777E1"/>
    <w:rsid w:val="00577F47"/>
    <w:rsid w:val="00581D37"/>
    <w:rsid w:val="00582F80"/>
    <w:rsid w:val="00583449"/>
    <w:rsid w:val="00583F0C"/>
    <w:rsid w:val="00586000"/>
    <w:rsid w:val="00593536"/>
    <w:rsid w:val="005953B4"/>
    <w:rsid w:val="00596E52"/>
    <w:rsid w:val="00597BDE"/>
    <w:rsid w:val="005A060F"/>
    <w:rsid w:val="005A12D4"/>
    <w:rsid w:val="005B2480"/>
    <w:rsid w:val="005B25B8"/>
    <w:rsid w:val="005B6A83"/>
    <w:rsid w:val="005B7053"/>
    <w:rsid w:val="005B7941"/>
    <w:rsid w:val="005C076D"/>
    <w:rsid w:val="005C319F"/>
    <w:rsid w:val="005C323C"/>
    <w:rsid w:val="005C32D3"/>
    <w:rsid w:val="005C346E"/>
    <w:rsid w:val="005C3874"/>
    <w:rsid w:val="005C3B0E"/>
    <w:rsid w:val="005C428B"/>
    <w:rsid w:val="005C5E40"/>
    <w:rsid w:val="005C5FEC"/>
    <w:rsid w:val="005D0CB6"/>
    <w:rsid w:val="005D0F82"/>
    <w:rsid w:val="005D2659"/>
    <w:rsid w:val="005D5540"/>
    <w:rsid w:val="005D5FF8"/>
    <w:rsid w:val="005D646D"/>
    <w:rsid w:val="005E1F97"/>
    <w:rsid w:val="005E3483"/>
    <w:rsid w:val="005E47B5"/>
    <w:rsid w:val="005E4921"/>
    <w:rsid w:val="005E5D12"/>
    <w:rsid w:val="005E7CF7"/>
    <w:rsid w:val="005F21AB"/>
    <w:rsid w:val="005F23AD"/>
    <w:rsid w:val="005F6E56"/>
    <w:rsid w:val="005F7D21"/>
    <w:rsid w:val="00603381"/>
    <w:rsid w:val="00603DBB"/>
    <w:rsid w:val="0060499C"/>
    <w:rsid w:val="0060571B"/>
    <w:rsid w:val="00605986"/>
    <w:rsid w:val="00605ADE"/>
    <w:rsid w:val="0060671B"/>
    <w:rsid w:val="006074B5"/>
    <w:rsid w:val="00607852"/>
    <w:rsid w:val="00607CE7"/>
    <w:rsid w:val="00610AD7"/>
    <w:rsid w:val="006112C9"/>
    <w:rsid w:val="00613E59"/>
    <w:rsid w:val="0061425A"/>
    <w:rsid w:val="006228CC"/>
    <w:rsid w:val="00623366"/>
    <w:rsid w:val="00627411"/>
    <w:rsid w:val="00630133"/>
    <w:rsid w:val="006311BD"/>
    <w:rsid w:val="0063155E"/>
    <w:rsid w:val="0063168A"/>
    <w:rsid w:val="00631A87"/>
    <w:rsid w:val="0063312E"/>
    <w:rsid w:val="00634435"/>
    <w:rsid w:val="006347D3"/>
    <w:rsid w:val="00636458"/>
    <w:rsid w:val="00636781"/>
    <w:rsid w:val="00636D99"/>
    <w:rsid w:val="00642B60"/>
    <w:rsid w:val="0064372F"/>
    <w:rsid w:val="00646241"/>
    <w:rsid w:val="00646AF2"/>
    <w:rsid w:val="00646F27"/>
    <w:rsid w:val="00653B93"/>
    <w:rsid w:val="00653BD6"/>
    <w:rsid w:val="00653E93"/>
    <w:rsid w:val="00661448"/>
    <w:rsid w:val="006620EF"/>
    <w:rsid w:val="00665688"/>
    <w:rsid w:val="00665C9B"/>
    <w:rsid w:val="00666CD9"/>
    <w:rsid w:val="006700FB"/>
    <w:rsid w:val="00670B3B"/>
    <w:rsid w:val="006722F7"/>
    <w:rsid w:val="006724A7"/>
    <w:rsid w:val="0067324C"/>
    <w:rsid w:val="006734E7"/>
    <w:rsid w:val="006743EA"/>
    <w:rsid w:val="00675530"/>
    <w:rsid w:val="00675666"/>
    <w:rsid w:val="00675AD6"/>
    <w:rsid w:val="00675C72"/>
    <w:rsid w:val="0067749F"/>
    <w:rsid w:val="00677BEA"/>
    <w:rsid w:val="00677F85"/>
    <w:rsid w:val="00681AA0"/>
    <w:rsid w:val="00681CE1"/>
    <w:rsid w:val="006921D2"/>
    <w:rsid w:val="00693658"/>
    <w:rsid w:val="00693B6C"/>
    <w:rsid w:val="0069598F"/>
    <w:rsid w:val="00696D18"/>
    <w:rsid w:val="006A1D04"/>
    <w:rsid w:val="006A412C"/>
    <w:rsid w:val="006A4DD6"/>
    <w:rsid w:val="006B040F"/>
    <w:rsid w:val="006B08B2"/>
    <w:rsid w:val="006B0AD4"/>
    <w:rsid w:val="006B19E5"/>
    <w:rsid w:val="006B2E23"/>
    <w:rsid w:val="006B36A9"/>
    <w:rsid w:val="006B414F"/>
    <w:rsid w:val="006B4156"/>
    <w:rsid w:val="006B765D"/>
    <w:rsid w:val="006C032F"/>
    <w:rsid w:val="006C0B53"/>
    <w:rsid w:val="006C2741"/>
    <w:rsid w:val="006C2EC4"/>
    <w:rsid w:val="006C6874"/>
    <w:rsid w:val="006D1F46"/>
    <w:rsid w:val="006D2E2E"/>
    <w:rsid w:val="006D4190"/>
    <w:rsid w:val="006D599A"/>
    <w:rsid w:val="006D7046"/>
    <w:rsid w:val="006E11CA"/>
    <w:rsid w:val="006E154C"/>
    <w:rsid w:val="006E2F1B"/>
    <w:rsid w:val="006E35D0"/>
    <w:rsid w:val="006E426A"/>
    <w:rsid w:val="006E4E8E"/>
    <w:rsid w:val="006E50F0"/>
    <w:rsid w:val="006E678A"/>
    <w:rsid w:val="006E6820"/>
    <w:rsid w:val="006E6FC5"/>
    <w:rsid w:val="006F0CA9"/>
    <w:rsid w:val="006F4167"/>
    <w:rsid w:val="006F4F83"/>
    <w:rsid w:val="006F5A89"/>
    <w:rsid w:val="006F6D4B"/>
    <w:rsid w:val="006F6DEA"/>
    <w:rsid w:val="006F6FAF"/>
    <w:rsid w:val="0070036B"/>
    <w:rsid w:val="007009CB"/>
    <w:rsid w:val="00703529"/>
    <w:rsid w:val="0070408E"/>
    <w:rsid w:val="00704654"/>
    <w:rsid w:val="00704C72"/>
    <w:rsid w:val="00704E77"/>
    <w:rsid w:val="0070502D"/>
    <w:rsid w:val="00706206"/>
    <w:rsid w:val="0070687C"/>
    <w:rsid w:val="00706DC6"/>
    <w:rsid w:val="00707683"/>
    <w:rsid w:val="00707D10"/>
    <w:rsid w:val="00720664"/>
    <w:rsid w:val="00724EE5"/>
    <w:rsid w:val="007263AA"/>
    <w:rsid w:val="00726B51"/>
    <w:rsid w:val="00726B58"/>
    <w:rsid w:val="00727061"/>
    <w:rsid w:val="00727B9A"/>
    <w:rsid w:val="0073101F"/>
    <w:rsid w:val="007338CE"/>
    <w:rsid w:val="00734BD3"/>
    <w:rsid w:val="00735CAF"/>
    <w:rsid w:val="00735D36"/>
    <w:rsid w:val="00736D4A"/>
    <w:rsid w:val="0073706F"/>
    <w:rsid w:val="00737856"/>
    <w:rsid w:val="00737F02"/>
    <w:rsid w:val="007404A8"/>
    <w:rsid w:val="00741C23"/>
    <w:rsid w:val="00744AE6"/>
    <w:rsid w:val="00746FC7"/>
    <w:rsid w:val="00747BE0"/>
    <w:rsid w:val="007501FF"/>
    <w:rsid w:val="007523E2"/>
    <w:rsid w:val="00755DFE"/>
    <w:rsid w:val="00756E99"/>
    <w:rsid w:val="007614E5"/>
    <w:rsid w:val="007616DA"/>
    <w:rsid w:val="0076288E"/>
    <w:rsid w:val="00762EAA"/>
    <w:rsid w:val="007652E4"/>
    <w:rsid w:val="007658C1"/>
    <w:rsid w:val="0076635A"/>
    <w:rsid w:val="007703FD"/>
    <w:rsid w:val="00770C07"/>
    <w:rsid w:val="00772E46"/>
    <w:rsid w:val="00774B27"/>
    <w:rsid w:val="007769C1"/>
    <w:rsid w:val="00776DA6"/>
    <w:rsid w:val="00777267"/>
    <w:rsid w:val="00777B7D"/>
    <w:rsid w:val="0078087D"/>
    <w:rsid w:val="00780B08"/>
    <w:rsid w:val="0078233C"/>
    <w:rsid w:val="0078349C"/>
    <w:rsid w:val="007840E8"/>
    <w:rsid w:val="00786C29"/>
    <w:rsid w:val="0078766E"/>
    <w:rsid w:val="00790373"/>
    <w:rsid w:val="00790BB6"/>
    <w:rsid w:val="0079243C"/>
    <w:rsid w:val="007939CB"/>
    <w:rsid w:val="007A145C"/>
    <w:rsid w:val="007A2427"/>
    <w:rsid w:val="007A4BD1"/>
    <w:rsid w:val="007A60F9"/>
    <w:rsid w:val="007B1257"/>
    <w:rsid w:val="007B2636"/>
    <w:rsid w:val="007B2C3A"/>
    <w:rsid w:val="007B30F2"/>
    <w:rsid w:val="007B4A1A"/>
    <w:rsid w:val="007B65EF"/>
    <w:rsid w:val="007B6D44"/>
    <w:rsid w:val="007C04A3"/>
    <w:rsid w:val="007C215C"/>
    <w:rsid w:val="007C2AEB"/>
    <w:rsid w:val="007C3135"/>
    <w:rsid w:val="007C55D4"/>
    <w:rsid w:val="007C5D60"/>
    <w:rsid w:val="007C6168"/>
    <w:rsid w:val="007C74A7"/>
    <w:rsid w:val="007C75C1"/>
    <w:rsid w:val="007D2280"/>
    <w:rsid w:val="007D4242"/>
    <w:rsid w:val="007D4885"/>
    <w:rsid w:val="007D6551"/>
    <w:rsid w:val="007D7D17"/>
    <w:rsid w:val="007E06E3"/>
    <w:rsid w:val="007E0EA2"/>
    <w:rsid w:val="007E1549"/>
    <w:rsid w:val="007E37A9"/>
    <w:rsid w:val="007E430F"/>
    <w:rsid w:val="007E4644"/>
    <w:rsid w:val="007E5605"/>
    <w:rsid w:val="007E66EF"/>
    <w:rsid w:val="007F1C46"/>
    <w:rsid w:val="007F49E3"/>
    <w:rsid w:val="00800DD6"/>
    <w:rsid w:val="00801192"/>
    <w:rsid w:val="00802D07"/>
    <w:rsid w:val="00803C24"/>
    <w:rsid w:val="008073B2"/>
    <w:rsid w:val="008075A9"/>
    <w:rsid w:val="00810EDC"/>
    <w:rsid w:val="00810F25"/>
    <w:rsid w:val="00813DFD"/>
    <w:rsid w:val="008142FA"/>
    <w:rsid w:val="00814366"/>
    <w:rsid w:val="00816104"/>
    <w:rsid w:val="00816ADB"/>
    <w:rsid w:val="008177F6"/>
    <w:rsid w:val="00824955"/>
    <w:rsid w:val="008255EE"/>
    <w:rsid w:val="00827077"/>
    <w:rsid w:val="00831F1F"/>
    <w:rsid w:val="0083414F"/>
    <w:rsid w:val="00834E95"/>
    <w:rsid w:val="00841E7D"/>
    <w:rsid w:val="00841EF6"/>
    <w:rsid w:val="008444CE"/>
    <w:rsid w:val="00845867"/>
    <w:rsid w:val="0084599C"/>
    <w:rsid w:val="00847861"/>
    <w:rsid w:val="00850B79"/>
    <w:rsid w:val="008524E9"/>
    <w:rsid w:val="00853125"/>
    <w:rsid w:val="00853709"/>
    <w:rsid w:val="00854448"/>
    <w:rsid w:val="00856B6E"/>
    <w:rsid w:val="0085777B"/>
    <w:rsid w:val="00860920"/>
    <w:rsid w:val="0086155E"/>
    <w:rsid w:val="0086171D"/>
    <w:rsid w:val="008669B7"/>
    <w:rsid w:val="00866C84"/>
    <w:rsid w:val="00866E48"/>
    <w:rsid w:val="008677E2"/>
    <w:rsid w:val="0087066E"/>
    <w:rsid w:val="00870979"/>
    <w:rsid w:val="0087302D"/>
    <w:rsid w:val="00883398"/>
    <w:rsid w:val="00885359"/>
    <w:rsid w:val="00886B53"/>
    <w:rsid w:val="00891CD0"/>
    <w:rsid w:val="008941CF"/>
    <w:rsid w:val="008951E2"/>
    <w:rsid w:val="0089572F"/>
    <w:rsid w:val="00895800"/>
    <w:rsid w:val="00895A69"/>
    <w:rsid w:val="00896D99"/>
    <w:rsid w:val="008A0DC1"/>
    <w:rsid w:val="008A2690"/>
    <w:rsid w:val="008A60E9"/>
    <w:rsid w:val="008A7798"/>
    <w:rsid w:val="008A7BED"/>
    <w:rsid w:val="008B0D01"/>
    <w:rsid w:val="008B1463"/>
    <w:rsid w:val="008B3E95"/>
    <w:rsid w:val="008B428A"/>
    <w:rsid w:val="008B676C"/>
    <w:rsid w:val="008C0C99"/>
    <w:rsid w:val="008C16BE"/>
    <w:rsid w:val="008C321D"/>
    <w:rsid w:val="008C4428"/>
    <w:rsid w:val="008C4C63"/>
    <w:rsid w:val="008C79C3"/>
    <w:rsid w:val="008D0843"/>
    <w:rsid w:val="008D2880"/>
    <w:rsid w:val="008D2AC5"/>
    <w:rsid w:val="008D4A61"/>
    <w:rsid w:val="008D5D25"/>
    <w:rsid w:val="008D622C"/>
    <w:rsid w:val="008E40EE"/>
    <w:rsid w:val="008E46BF"/>
    <w:rsid w:val="008E5507"/>
    <w:rsid w:val="008E5FFC"/>
    <w:rsid w:val="008F00B8"/>
    <w:rsid w:val="008F1F15"/>
    <w:rsid w:val="008F1FBB"/>
    <w:rsid w:val="008F28AB"/>
    <w:rsid w:val="008F2A7D"/>
    <w:rsid w:val="008F42F2"/>
    <w:rsid w:val="008F6205"/>
    <w:rsid w:val="008F6CEF"/>
    <w:rsid w:val="008F6D56"/>
    <w:rsid w:val="00901098"/>
    <w:rsid w:val="00901B90"/>
    <w:rsid w:val="0090305E"/>
    <w:rsid w:val="00903660"/>
    <w:rsid w:val="00906115"/>
    <w:rsid w:val="00906B05"/>
    <w:rsid w:val="00907210"/>
    <w:rsid w:val="0090726C"/>
    <w:rsid w:val="00910734"/>
    <w:rsid w:val="00912FD2"/>
    <w:rsid w:val="009135D6"/>
    <w:rsid w:val="00914BDB"/>
    <w:rsid w:val="0092097F"/>
    <w:rsid w:val="00922E06"/>
    <w:rsid w:val="009230F7"/>
    <w:rsid w:val="00925ECF"/>
    <w:rsid w:val="00926869"/>
    <w:rsid w:val="00927BAE"/>
    <w:rsid w:val="00930F53"/>
    <w:rsid w:val="00930FD4"/>
    <w:rsid w:val="009334C6"/>
    <w:rsid w:val="009353C0"/>
    <w:rsid w:val="00935DCE"/>
    <w:rsid w:val="00937136"/>
    <w:rsid w:val="00937560"/>
    <w:rsid w:val="009409EF"/>
    <w:rsid w:val="0094106F"/>
    <w:rsid w:val="009416A9"/>
    <w:rsid w:val="00941E98"/>
    <w:rsid w:val="00942565"/>
    <w:rsid w:val="00942572"/>
    <w:rsid w:val="00944246"/>
    <w:rsid w:val="0094438C"/>
    <w:rsid w:val="00945DAF"/>
    <w:rsid w:val="009466D2"/>
    <w:rsid w:val="00947619"/>
    <w:rsid w:val="00950D12"/>
    <w:rsid w:val="00951690"/>
    <w:rsid w:val="00951EE3"/>
    <w:rsid w:val="009526C2"/>
    <w:rsid w:val="00952D3E"/>
    <w:rsid w:val="00954096"/>
    <w:rsid w:val="00955295"/>
    <w:rsid w:val="00960616"/>
    <w:rsid w:val="00960C64"/>
    <w:rsid w:val="0096187A"/>
    <w:rsid w:val="00962595"/>
    <w:rsid w:val="009658D7"/>
    <w:rsid w:val="009660FA"/>
    <w:rsid w:val="00966934"/>
    <w:rsid w:val="00970136"/>
    <w:rsid w:val="009704B1"/>
    <w:rsid w:val="00970540"/>
    <w:rsid w:val="009763BF"/>
    <w:rsid w:val="00976D68"/>
    <w:rsid w:val="0097737F"/>
    <w:rsid w:val="0098041F"/>
    <w:rsid w:val="00987ECC"/>
    <w:rsid w:val="009931F2"/>
    <w:rsid w:val="00993604"/>
    <w:rsid w:val="0099416F"/>
    <w:rsid w:val="00994208"/>
    <w:rsid w:val="009949A7"/>
    <w:rsid w:val="00994BC5"/>
    <w:rsid w:val="009950C0"/>
    <w:rsid w:val="00996C51"/>
    <w:rsid w:val="00997DAB"/>
    <w:rsid w:val="009A0D12"/>
    <w:rsid w:val="009A35C3"/>
    <w:rsid w:val="009A667D"/>
    <w:rsid w:val="009A6B35"/>
    <w:rsid w:val="009B2F1C"/>
    <w:rsid w:val="009B4803"/>
    <w:rsid w:val="009B763D"/>
    <w:rsid w:val="009B7F87"/>
    <w:rsid w:val="009C14E0"/>
    <w:rsid w:val="009C1CAB"/>
    <w:rsid w:val="009C2142"/>
    <w:rsid w:val="009C49A0"/>
    <w:rsid w:val="009C49BA"/>
    <w:rsid w:val="009C4E32"/>
    <w:rsid w:val="009C54CA"/>
    <w:rsid w:val="009C5BBA"/>
    <w:rsid w:val="009C5F47"/>
    <w:rsid w:val="009D0997"/>
    <w:rsid w:val="009D1533"/>
    <w:rsid w:val="009E0F52"/>
    <w:rsid w:val="009E41F3"/>
    <w:rsid w:val="009E457F"/>
    <w:rsid w:val="009E4B9A"/>
    <w:rsid w:val="009E5931"/>
    <w:rsid w:val="009E67DE"/>
    <w:rsid w:val="009F0E91"/>
    <w:rsid w:val="009F1A2F"/>
    <w:rsid w:val="009F4926"/>
    <w:rsid w:val="009F503D"/>
    <w:rsid w:val="009F5E61"/>
    <w:rsid w:val="009F699E"/>
    <w:rsid w:val="00A00DC3"/>
    <w:rsid w:val="00A0488D"/>
    <w:rsid w:val="00A06717"/>
    <w:rsid w:val="00A10960"/>
    <w:rsid w:val="00A1130E"/>
    <w:rsid w:val="00A116DC"/>
    <w:rsid w:val="00A125E5"/>
    <w:rsid w:val="00A15133"/>
    <w:rsid w:val="00A2085F"/>
    <w:rsid w:val="00A2116C"/>
    <w:rsid w:val="00A229F9"/>
    <w:rsid w:val="00A22BBA"/>
    <w:rsid w:val="00A22C41"/>
    <w:rsid w:val="00A26C97"/>
    <w:rsid w:val="00A272A3"/>
    <w:rsid w:val="00A310B8"/>
    <w:rsid w:val="00A319E3"/>
    <w:rsid w:val="00A32B13"/>
    <w:rsid w:val="00A32C11"/>
    <w:rsid w:val="00A32C26"/>
    <w:rsid w:val="00A333B0"/>
    <w:rsid w:val="00A34633"/>
    <w:rsid w:val="00A35187"/>
    <w:rsid w:val="00A413AA"/>
    <w:rsid w:val="00A42459"/>
    <w:rsid w:val="00A440C7"/>
    <w:rsid w:val="00A44915"/>
    <w:rsid w:val="00A460F9"/>
    <w:rsid w:val="00A511BF"/>
    <w:rsid w:val="00A51E26"/>
    <w:rsid w:val="00A52998"/>
    <w:rsid w:val="00A52D2C"/>
    <w:rsid w:val="00A56C29"/>
    <w:rsid w:val="00A65E37"/>
    <w:rsid w:val="00A66139"/>
    <w:rsid w:val="00A7018B"/>
    <w:rsid w:val="00A73463"/>
    <w:rsid w:val="00A737AE"/>
    <w:rsid w:val="00A73BAA"/>
    <w:rsid w:val="00A7599F"/>
    <w:rsid w:val="00A76ED6"/>
    <w:rsid w:val="00A77863"/>
    <w:rsid w:val="00A80E86"/>
    <w:rsid w:val="00A8354C"/>
    <w:rsid w:val="00A87934"/>
    <w:rsid w:val="00A87D11"/>
    <w:rsid w:val="00A87D74"/>
    <w:rsid w:val="00A93A71"/>
    <w:rsid w:val="00AA1130"/>
    <w:rsid w:val="00AA220D"/>
    <w:rsid w:val="00AA630A"/>
    <w:rsid w:val="00AA668A"/>
    <w:rsid w:val="00AA6C21"/>
    <w:rsid w:val="00AB126D"/>
    <w:rsid w:val="00AB34EF"/>
    <w:rsid w:val="00AB3D30"/>
    <w:rsid w:val="00AB402C"/>
    <w:rsid w:val="00AC074F"/>
    <w:rsid w:val="00AC188B"/>
    <w:rsid w:val="00AC21AC"/>
    <w:rsid w:val="00AC2ABF"/>
    <w:rsid w:val="00AC3FBC"/>
    <w:rsid w:val="00AC4623"/>
    <w:rsid w:val="00AC5F55"/>
    <w:rsid w:val="00AC70C9"/>
    <w:rsid w:val="00AC7A53"/>
    <w:rsid w:val="00AD0599"/>
    <w:rsid w:val="00AD2EDB"/>
    <w:rsid w:val="00AD4262"/>
    <w:rsid w:val="00AD678E"/>
    <w:rsid w:val="00AD7C22"/>
    <w:rsid w:val="00AE3E4E"/>
    <w:rsid w:val="00AE6649"/>
    <w:rsid w:val="00AE7132"/>
    <w:rsid w:val="00AE7D66"/>
    <w:rsid w:val="00AF320F"/>
    <w:rsid w:val="00AF3850"/>
    <w:rsid w:val="00AF4220"/>
    <w:rsid w:val="00AF50E3"/>
    <w:rsid w:val="00AF670B"/>
    <w:rsid w:val="00AF6DAB"/>
    <w:rsid w:val="00B00A8B"/>
    <w:rsid w:val="00B00CFE"/>
    <w:rsid w:val="00B04D65"/>
    <w:rsid w:val="00B07696"/>
    <w:rsid w:val="00B12EE5"/>
    <w:rsid w:val="00B141E8"/>
    <w:rsid w:val="00B15D39"/>
    <w:rsid w:val="00B15E4E"/>
    <w:rsid w:val="00B15FE3"/>
    <w:rsid w:val="00B17AF2"/>
    <w:rsid w:val="00B21023"/>
    <w:rsid w:val="00B22120"/>
    <w:rsid w:val="00B22A25"/>
    <w:rsid w:val="00B25825"/>
    <w:rsid w:val="00B26425"/>
    <w:rsid w:val="00B30923"/>
    <w:rsid w:val="00B30FE6"/>
    <w:rsid w:val="00B31121"/>
    <w:rsid w:val="00B37705"/>
    <w:rsid w:val="00B40503"/>
    <w:rsid w:val="00B40E8C"/>
    <w:rsid w:val="00B42126"/>
    <w:rsid w:val="00B428DD"/>
    <w:rsid w:val="00B43340"/>
    <w:rsid w:val="00B46522"/>
    <w:rsid w:val="00B465BB"/>
    <w:rsid w:val="00B51082"/>
    <w:rsid w:val="00B519E4"/>
    <w:rsid w:val="00B550D4"/>
    <w:rsid w:val="00B56CF0"/>
    <w:rsid w:val="00B6228E"/>
    <w:rsid w:val="00B62EC0"/>
    <w:rsid w:val="00B64BF0"/>
    <w:rsid w:val="00B66465"/>
    <w:rsid w:val="00B66E1E"/>
    <w:rsid w:val="00B70F50"/>
    <w:rsid w:val="00B77ADF"/>
    <w:rsid w:val="00B77BE2"/>
    <w:rsid w:val="00B82EE3"/>
    <w:rsid w:val="00B831BE"/>
    <w:rsid w:val="00B9256F"/>
    <w:rsid w:val="00B93B2A"/>
    <w:rsid w:val="00B93D6C"/>
    <w:rsid w:val="00B96104"/>
    <w:rsid w:val="00B97368"/>
    <w:rsid w:val="00B97854"/>
    <w:rsid w:val="00BA0D01"/>
    <w:rsid w:val="00BA1019"/>
    <w:rsid w:val="00BA2F9F"/>
    <w:rsid w:val="00BA3591"/>
    <w:rsid w:val="00BA66CC"/>
    <w:rsid w:val="00BA79FA"/>
    <w:rsid w:val="00BB17F4"/>
    <w:rsid w:val="00BB1FF1"/>
    <w:rsid w:val="00BB4D07"/>
    <w:rsid w:val="00BB5DEE"/>
    <w:rsid w:val="00BB6A40"/>
    <w:rsid w:val="00BB7D17"/>
    <w:rsid w:val="00BC2293"/>
    <w:rsid w:val="00BC24F7"/>
    <w:rsid w:val="00BC29C3"/>
    <w:rsid w:val="00BC7F55"/>
    <w:rsid w:val="00BD1811"/>
    <w:rsid w:val="00BD31E9"/>
    <w:rsid w:val="00BD486A"/>
    <w:rsid w:val="00BD4C29"/>
    <w:rsid w:val="00BD68BB"/>
    <w:rsid w:val="00BD7C74"/>
    <w:rsid w:val="00BE01C0"/>
    <w:rsid w:val="00BE1667"/>
    <w:rsid w:val="00BE1B26"/>
    <w:rsid w:val="00BE24EA"/>
    <w:rsid w:val="00BE336E"/>
    <w:rsid w:val="00BE469A"/>
    <w:rsid w:val="00BE60A4"/>
    <w:rsid w:val="00BE6F2D"/>
    <w:rsid w:val="00BE76BF"/>
    <w:rsid w:val="00BE7BCC"/>
    <w:rsid w:val="00BE7C6D"/>
    <w:rsid w:val="00BF06FC"/>
    <w:rsid w:val="00BF127E"/>
    <w:rsid w:val="00BF1BE0"/>
    <w:rsid w:val="00BF356D"/>
    <w:rsid w:val="00BF47BD"/>
    <w:rsid w:val="00BF550E"/>
    <w:rsid w:val="00C001C0"/>
    <w:rsid w:val="00C00DF6"/>
    <w:rsid w:val="00C011E2"/>
    <w:rsid w:val="00C01FAE"/>
    <w:rsid w:val="00C04036"/>
    <w:rsid w:val="00C04194"/>
    <w:rsid w:val="00C06ACB"/>
    <w:rsid w:val="00C06E04"/>
    <w:rsid w:val="00C07064"/>
    <w:rsid w:val="00C07941"/>
    <w:rsid w:val="00C11E9C"/>
    <w:rsid w:val="00C121A9"/>
    <w:rsid w:val="00C13401"/>
    <w:rsid w:val="00C13885"/>
    <w:rsid w:val="00C20C18"/>
    <w:rsid w:val="00C2337A"/>
    <w:rsid w:val="00C245F9"/>
    <w:rsid w:val="00C30349"/>
    <w:rsid w:val="00C309F2"/>
    <w:rsid w:val="00C31068"/>
    <w:rsid w:val="00C3149E"/>
    <w:rsid w:val="00C31534"/>
    <w:rsid w:val="00C33A85"/>
    <w:rsid w:val="00C33F70"/>
    <w:rsid w:val="00C35E49"/>
    <w:rsid w:val="00C40B67"/>
    <w:rsid w:val="00C41A41"/>
    <w:rsid w:val="00C41CC2"/>
    <w:rsid w:val="00C41FD7"/>
    <w:rsid w:val="00C421B9"/>
    <w:rsid w:val="00C43E0C"/>
    <w:rsid w:val="00C4693B"/>
    <w:rsid w:val="00C46CB0"/>
    <w:rsid w:val="00C503BC"/>
    <w:rsid w:val="00C51550"/>
    <w:rsid w:val="00C52C7E"/>
    <w:rsid w:val="00C53E33"/>
    <w:rsid w:val="00C5509D"/>
    <w:rsid w:val="00C559C9"/>
    <w:rsid w:val="00C55EC2"/>
    <w:rsid w:val="00C55F2D"/>
    <w:rsid w:val="00C55F2F"/>
    <w:rsid w:val="00C57E4C"/>
    <w:rsid w:val="00C628D0"/>
    <w:rsid w:val="00C65079"/>
    <w:rsid w:val="00C74E09"/>
    <w:rsid w:val="00C76637"/>
    <w:rsid w:val="00C767AA"/>
    <w:rsid w:val="00C77526"/>
    <w:rsid w:val="00C801B9"/>
    <w:rsid w:val="00C81815"/>
    <w:rsid w:val="00C81DA1"/>
    <w:rsid w:val="00C81EB1"/>
    <w:rsid w:val="00C906E2"/>
    <w:rsid w:val="00C9369C"/>
    <w:rsid w:val="00C93AC9"/>
    <w:rsid w:val="00C93F46"/>
    <w:rsid w:val="00C94DBC"/>
    <w:rsid w:val="00C971F7"/>
    <w:rsid w:val="00CA30BB"/>
    <w:rsid w:val="00CA3329"/>
    <w:rsid w:val="00CA40A8"/>
    <w:rsid w:val="00CA4464"/>
    <w:rsid w:val="00CA7420"/>
    <w:rsid w:val="00CB5F1E"/>
    <w:rsid w:val="00CC0520"/>
    <w:rsid w:val="00CC3E28"/>
    <w:rsid w:val="00CC3FF3"/>
    <w:rsid w:val="00CC5D65"/>
    <w:rsid w:val="00CC7854"/>
    <w:rsid w:val="00CD1B8C"/>
    <w:rsid w:val="00CD2C0F"/>
    <w:rsid w:val="00CD2C1A"/>
    <w:rsid w:val="00CD3B0A"/>
    <w:rsid w:val="00CD4DB2"/>
    <w:rsid w:val="00CD5197"/>
    <w:rsid w:val="00CD6A87"/>
    <w:rsid w:val="00CD7EB3"/>
    <w:rsid w:val="00CD7F7D"/>
    <w:rsid w:val="00CE1925"/>
    <w:rsid w:val="00CE19A0"/>
    <w:rsid w:val="00CF1158"/>
    <w:rsid w:val="00CF60F0"/>
    <w:rsid w:val="00CF6EE9"/>
    <w:rsid w:val="00CF75FB"/>
    <w:rsid w:val="00D01A7E"/>
    <w:rsid w:val="00D025FF"/>
    <w:rsid w:val="00D02CF4"/>
    <w:rsid w:val="00D0328D"/>
    <w:rsid w:val="00D04082"/>
    <w:rsid w:val="00D0694B"/>
    <w:rsid w:val="00D1294B"/>
    <w:rsid w:val="00D1307F"/>
    <w:rsid w:val="00D15EDF"/>
    <w:rsid w:val="00D16BC6"/>
    <w:rsid w:val="00D17F60"/>
    <w:rsid w:val="00D17FD3"/>
    <w:rsid w:val="00D211CE"/>
    <w:rsid w:val="00D22109"/>
    <w:rsid w:val="00D23AD8"/>
    <w:rsid w:val="00D24371"/>
    <w:rsid w:val="00D24DB2"/>
    <w:rsid w:val="00D26C1C"/>
    <w:rsid w:val="00D3498F"/>
    <w:rsid w:val="00D35A06"/>
    <w:rsid w:val="00D37908"/>
    <w:rsid w:val="00D406B7"/>
    <w:rsid w:val="00D40ED3"/>
    <w:rsid w:val="00D41B94"/>
    <w:rsid w:val="00D4440E"/>
    <w:rsid w:val="00D44678"/>
    <w:rsid w:val="00D44CF3"/>
    <w:rsid w:val="00D45ED0"/>
    <w:rsid w:val="00D51DD0"/>
    <w:rsid w:val="00D52545"/>
    <w:rsid w:val="00D53AE2"/>
    <w:rsid w:val="00D60CA4"/>
    <w:rsid w:val="00D63866"/>
    <w:rsid w:val="00D64783"/>
    <w:rsid w:val="00D65071"/>
    <w:rsid w:val="00D65652"/>
    <w:rsid w:val="00D657E5"/>
    <w:rsid w:val="00D6603D"/>
    <w:rsid w:val="00D66079"/>
    <w:rsid w:val="00D6793F"/>
    <w:rsid w:val="00D67BEE"/>
    <w:rsid w:val="00D7072D"/>
    <w:rsid w:val="00D721DC"/>
    <w:rsid w:val="00D72C22"/>
    <w:rsid w:val="00D73227"/>
    <w:rsid w:val="00D74A21"/>
    <w:rsid w:val="00D7657F"/>
    <w:rsid w:val="00D779F1"/>
    <w:rsid w:val="00D77D44"/>
    <w:rsid w:val="00D8220E"/>
    <w:rsid w:val="00D82DE4"/>
    <w:rsid w:val="00D84E2D"/>
    <w:rsid w:val="00D85BE0"/>
    <w:rsid w:val="00D90590"/>
    <w:rsid w:val="00D94601"/>
    <w:rsid w:val="00D94988"/>
    <w:rsid w:val="00D94A51"/>
    <w:rsid w:val="00D967BB"/>
    <w:rsid w:val="00DA0169"/>
    <w:rsid w:val="00DA0B2D"/>
    <w:rsid w:val="00DA254F"/>
    <w:rsid w:val="00DA2571"/>
    <w:rsid w:val="00DA2977"/>
    <w:rsid w:val="00DA2B46"/>
    <w:rsid w:val="00DA618E"/>
    <w:rsid w:val="00DB0BE9"/>
    <w:rsid w:val="00DB186E"/>
    <w:rsid w:val="00DB24A0"/>
    <w:rsid w:val="00DB2969"/>
    <w:rsid w:val="00DB37F8"/>
    <w:rsid w:val="00DB4C82"/>
    <w:rsid w:val="00DB5200"/>
    <w:rsid w:val="00DB5A53"/>
    <w:rsid w:val="00DB6151"/>
    <w:rsid w:val="00DC1536"/>
    <w:rsid w:val="00DC5D0B"/>
    <w:rsid w:val="00DC7FAB"/>
    <w:rsid w:val="00DD10CD"/>
    <w:rsid w:val="00DD14F9"/>
    <w:rsid w:val="00DD1CBB"/>
    <w:rsid w:val="00DD3E47"/>
    <w:rsid w:val="00DD4A47"/>
    <w:rsid w:val="00DD533D"/>
    <w:rsid w:val="00DD710A"/>
    <w:rsid w:val="00DE263F"/>
    <w:rsid w:val="00DE4B73"/>
    <w:rsid w:val="00DE5B07"/>
    <w:rsid w:val="00DF0825"/>
    <w:rsid w:val="00DF1B28"/>
    <w:rsid w:val="00DF2B11"/>
    <w:rsid w:val="00DF3DB9"/>
    <w:rsid w:val="00DF47D9"/>
    <w:rsid w:val="00E006D3"/>
    <w:rsid w:val="00E0208D"/>
    <w:rsid w:val="00E02334"/>
    <w:rsid w:val="00E03111"/>
    <w:rsid w:val="00E03FF3"/>
    <w:rsid w:val="00E04210"/>
    <w:rsid w:val="00E04BD2"/>
    <w:rsid w:val="00E06CCC"/>
    <w:rsid w:val="00E11672"/>
    <w:rsid w:val="00E12EB8"/>
    <w:rsid w:val="00E13B66"/>
    <w:rsid w:val="00E1558E"/>
    <w:rsid w:val="00E17D5D"/>
    <w:rsid w:val="00E2004E"/>
    <w:rsid w:val="00E22B87"/>
    <w:rsid w:val="00E243FF"/>
    <w:rsid w:val="00E30D17"/>
    <w:rsid w:val="00E31898"/>
    <w:rsid w:val="00E324D2"/>
    <w:rsid w:val="00E33833"/>
    <w:rsid w:val="00E34CB1"/>
    <w:rsid w:val="00E375A8"/>
    <w:rsid w:val="00E3779E"/>
    <w:rsid w:val="00E413D7"/>
    <w:rsid w:val="00E4333E"/>
    <w:rsid w:val="00E4526E"/>
    <w:rsid w:val="00E456B7"/>
    <w:rsid w:val="00E45870"/>
    <w:rsid w:val="00E46B3A"/>
    <w:rsid w:val="00E504BE"/>
    <w:rsid w:val="00E5181E"/>
    <w:rsid w:val="00E554EA"/>
    <w:rsid w:val="00E557B9"/>
    <w:rsid w:val="00E60268"/>
    <w:rsid w:val="00E6185B"/>
    <w:rsid w:val="00E65EE5"/>
    <w:rsid w:val="00E661C6"/>
    <w:rsid w:val="00E67F09"/>
    <w:rsid w:val="00E71594"/>
    <w:rsid w:val="00E7174B"/>
    <w:rsid w:val="00E812BF"/>
    <w:rsid w:val="00E825F9"/>
    <w:rsid w:val="00E82859"/>
    <w:rsid w:val="00E854DE"/>
    <w:rsid w:val="00E87DDF"/>
    <w:rsid w:val="00E900E3"/>
    <w:rsid w:val="00E90A42"/>
    <w:rsid w:val="00E92B31"/>
    <w:rsid w:val="00E92BE0"/>
    <w:rsid w:val="00E95AD2"/>
    <w:rsid w:val="00EA14A7"/>
    <w:rsid w:val="00EA1537"/>
    <w:rsid w:val="00EA4D1D"/>
    <w:rsid w:val="00EA5540"/>
    <w:rsid w:val="00EA6C61"/>
    <w:rsid w:val="00EA7961"/>
    <w:rsid w:val="00EB1484"/>
    <w:rsid w:val="00EB317D"/>
    <w:rsid w:val="00EC05A0"/>
    <w:rsid w:val="00EC0670"/>
    <w:rsid w:val="00EC09A3"/>
    <w:rsid w:val="00EC2371"/>
    <w:rsid w:val="00EC3317"/>
    <w:rsid w:val="00EC3C1B"/>
    <w:rsid w:val="00EC4AD1"/>
    <w:rsid w:val="00ED090D"/>
    <w:rsid w:val="00ED5B25"/>
    <w:rsid w:val="00ED6647"/>
    <w:rsid w:val="00ED7A84"/>
    <w:rsid w:val="00EE1C9B"/>
    <w:rsid w:val="00EE26E2"/>
    <w:rsid w:val="00EE3FC6"/>
    <w:rsid w:val="00EE6AF8"/>
    <w:rsid w:val="00EE7C74"/>
    <w:rsid w:val="00EF4CEC"/>
    <w:rsid w:val="00EF53CC"/>
    <w:rsid w:val="00EF690B"/>
    <w:rsid w:val="00EF770D"/>
    <w:rsid w:val="00EF77E0"/>
    <w:rsid w:val="00F00593"/>
    <w:rsid w:val="00F01293"/>
    <w:rsid w:val="00F028EF"/>
    <w:rsid w:val="00F03717"/>
    <w:rsid w:val="00F0536B"/>
    <w:rsid w:val="00F05E53"/>
    <w:rsid w:val="00F0728B"/>
    <w:rsid w:val="00F07B60"/>
    <w:rsid w:val="00F10492"/>
    <w:rsid w:val="00F10D6C"/>
    <w:rsid w:val="00F12971"/>
    <w:rsid w:val="00F12F11"/>
    <w:rsid w:val="00F13EF3"/>
    <w:rsid w:val="00F155FD"/>
    <w:rsid w:val="00F159A4"/>
    <w:rsid w:val="00F16903"/>
    <w:rsid w:val="00F1738B"/>
    <w:rsid w:val="00F20AA4"/>
    <w:rsid w:val="00F21094"/>
    <w:rsid w:val="00F21D39"/>
    <w:rsid w:val="00F24D23"/>
    <w:rsid w:val="00F27A95"/>
    <w:rsid w:val="00F30A45"/>
    <w:rsid w:val="00F31448"/>
    <w:rsid w:val="00F3361E"/>
    <w:rsid w:val="00F33666"/>
    <w:rsid w:val="00F3372E"/>
    <w:rsid w:val="00F3450E"/>
    <w:rsid w:val="00F37C34"/>
    <w:rsid w:val="00F37F88"/>
    <w:rsid w:val="00F40C5E"/>
    <w:rsid w:val="00F412AB"/>
    <w:rsid w:val="00F4230E"/>
    <w:rsid w:val="00F4234F"/>
    <w:rsid w:val="00F4370B"/>
    <w:rsid w:val="00F45C4F"/>
    <w:rsid w:val="00F46D97"/>
    <w:rsid w:val="00F525F2"/>
    <w:rsid w:val="00F53860"/>
    <w:rsid w:val="00F53CB7"/>
    <w:rsid w:val="00F54959"/>
    <w:rsid w:val="00F55FA5"/>
    <w:rsid w:val="00F61484"/>
    <w:rsid w:val="00F61495"/>
    <w:rsid w:val="00F64406"/>
    <w:rsid w:val="00F65002"/>
    <w:rsid w:val="00F66026"/>
    <w:rsid w:val="00F678E3"/>
    <w:rsid w:val="00F71B79"/>
    <w:rsid w:val="00F728A9"/>
    <w:rsid w:val="00F74235"/>
    <w:rsid w:val="00F75327"/>
    <w:rsid w:val="00F842B5"/>
    <w:rsid w:val="00F859BA"/>
    <w:rsid w:val="00F864AC"/>
    <w:rsid w:val="00F87655"/>
    <w:rsid w:val="00F932E3"/>
    <w:rsid w:val="00F93729"/>
    <w:rsid w:val="00F94D7C"/>
    <w:rsid w:val="00F95432"/>
    <w:rsid w:val="00F95A7E"/>
    <w:rsid w:val="00F96260"/>
    <w:rsid w:val="00F97C31"/>
    <w:rsid w:val="00FA0C00"/>
    <w:rsid w:val="00FA112E"/>
    <w:rsid w:val="00FA4B35"/>
    <w:rsid w:val="00FA4E01"/>
    <w:rsid w:val="00FA68A8"/>
    <w:rsid w:val="00FB01BA"/>
    <w:rsid w:val="00FB0DAD"/>
    <w:rsid w:val="00FB2E8B"/>
    <w:rsid w:val="00FB386D"/>
    <w:rsid w:val="00FC02BB"/>
    <w:rsid w:val="00FC21C2"/>
    <w:rsid w:val="00FC26E4"/>
    <w:rsid w:val="00FC2ECB"/>
    <w:rsid w:val="00FC3C75"/>
    <w:rsid w:val="00FC5620"/>
    <w:rsid w:val="00FC61F8"/>
    <w:rsid w:val="00FC67A1"/>
    <w:rsid w:val="00FC77DE"/>
    <w:rsid w:val="00FC7BCF"/>
    <w:rsid w:val="00FD08F8"/>
    <w:rsid w:val="00FD0D02"/>
    <w:rsid w:val="00FD1E50"/>
    <w:rsid w:val="00FD2FA9"/>
    <w:rsid w:val="00FD340B"/>
    <w:rsid w:val="00FD551C"/>
    <w:rsid w:val="00FD660C"/>
    <w:rsid w:val="00FD6F25"/>
    <w:rsid w:val="00FD7E2A"/>
    <w:rsid w:val="00FE00AD"/>
    <w:rsid w:val="00FE1257"/>
    <w:rsid w:val="00FE424C"/>
    <w:rsid w:val="00FE5C9E"/>
    <w:rsid w:val="00FE67E1"/>
    <w:rsid w:val="00FE6B94"/>
    <w:rsid w:val="00FE6F06"/>
    <w:rsid w:val="00FF0471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8100"/>
  <w15:chartTrackingRefBased/>
  <w15:docId w15:val="{48A9325F-E2C9-4A34-850F-9F7D1F30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7E5605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7F1B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487F1B"/>
    <w:rPr>
      <w:rFonts w:cs="Times New Roman"/>
      <w:b/>
      <w:bCs/>
    </w:rPr>
  </w:style>
  <w:style w:type="table" w:styleId="TableGrid">
    <w:name w:val="Table Grid"/>
    <w:basedOn w:val="TableNormal"/>
    <w:rsid w:val="00EE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next w:val="Normal"/>
    <w:link w:val="SalutationChar"/>
    <w:rsid w:val="001F5702"/>
    <w:pPr>
      <w:spacing w:before="220" w:after="220" w:line="220" w:lineRule="atLeast"/>
    </w:pPr>
    <w:rPr>
      <w:rFonts w:ascii="Arial" w:hAnsi="Arial"/>
      <w:spacing w:val="-5"/>
      <w:sz w:val="20"/>
      <w:szCs w:val="20"/>
      <w:lang w:val="en-US" w:eastAsia="en-US" w:bidi="ar-JO"/>
    </w:rPr>
  </w:style>
  <w:style w:type="character" w:customStyle="1" w:styleId="SalutationChar">
    <w:name w:val="Salutation Char"/>
    <w:link w:val="Salutation"/>
    <w:rsid w:val="001F5702"/>
    <w:rPr>
      <w:rFonts w:ascii="Arial" w:hAnsi="Arial"/>
      <w:spacing w:val="-5"/>
      <w:lang w:val="en-US" w:eastAsia="en-US" w:bidi="ar-JO"/>
    </w:rPr>
  </w:style>
  <w:style w:type="character" w:customStyle="1" w:styleId="2">
    <w:name w:val="Основной текст (2)"/>
    <w:rsid w:val="00E324D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Quote">
    <w:name w:val="Quote"/>
    <w:basedOn w:val="Normal"/>
    <w:next w:val="Normal"/>
    <w:link w:val="QuoteChar"/>
    <w:uiPriority w:val="29"/>
    <w:qFormat/>
    <w:rsid w:val="00D3498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D3498F"/>
    <w:rPr>
      <w:i/>
      <w:iCs/>
      <w:color w:val="404040"/>
      <w:sz w:val="24"/>
      <w:szCs w:val="24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D3498F"/>
    <w:pPr>
      <w:spacing w:after="16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D3498F"/>
    <w:rPr>
      <w:rFonts w:ascii="Calibri" w:eastAsia="Calibri" w:hAnsi="Calibri"/>
    </w:rPr>
  </w:style>
  <w:style w:type="character" w:styleId="CommentReference">
    <w:name w:val="annotation reference"/>
    <w:uiPriority w:val="99"/>
    <w:unhideWhenUsed/>
    <w:rsid w:val="00D3498F"/>
    <w:rPr>
      <w:sz w:val="16"/>
      <w:szCs w:val="16"/>
    </w:rPr>
  </w:style>
  <w:style w:type="character" w:styleId="IntenseEmphasis">
    <w:name w:val="Intense Emphasis"/>
    <w:uiPriority w:val="21"/>
    <w:qFormat/>
    <w:rsid w:val="00D3498F"/>
    <w:rPr>
      <w:i/>
      <w:iCs/>
      <w:color w:val="4472C4"/>
    </w:rPr>
  </w:style>
  <w:style w:type="character" w:customStyle="1" w:styleId="eop">
    <w:name w:val="eop"/>
    <w:basedOn w:val="DefaultParagraphFont"/>
    <w:uiPriority w:val="1"/>
    <w:rsid w:val="00D3498F"/>
  </w:style>
  <w:style w:type="character" w:customStyle="1" w:styleId="normaltextrun">
    <w:name w:val="normaltextrun"/>
    <w:basedOn w:val="DefaultParagraphFont"/>
    <w:uiPriority w:val="1"/>
    <w:rsid w:val="00D3498F"/>
  </w:style>
  <w:style w:type="character" w:customStyle="1" w:styleId="UnresolvedMention1">
    <w:name w:val="Unresolved Mention1"/>
    <w:uiPriority w:val="99"/>
    <w:semiHidden/>
    <w:unhideWhenUsed/>
    <w:rsid w:val="00D349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62EAA"/>
    <w:pPr>
      <w:spacing w:before="100" w:beforeAutospacing="1" w:after="100" w:afterAutospacing="1"/>
    </w:pPr>
    <w:rPr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371F07"/>
    <w:rPr>
      <w:rFonts w:ascii="Calibri" w:eastAsiaTheme="minorHAnsi" w:hAnsi="Calibri" w:cstheme="minorBidi"/>
      <w:sz w:val="22"/>
      <w:szCs w:val="21"/>
      <w:lang w:val="ru-R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71F07"/>
    <w:rPr>
      <w:rFonts w:ascii="Calibri" w:eastAsiaTheme="minorHAnsi" w:hAnsi="Calibri" w:cstheme="minorBidi"/>
      <w:sz w:val="22"/>
      <w:szCs w:val="21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7E5605"/>
    <w:rPr>
      <w:b/>
      <w:bCs/>
      <w:sz w:val="27"/>
      <w:szCs w:val="27"/>
    </w:rPr>
  </w:style>
  <w:style w:type="character" w:customStyle="1" w:styleId="overflow-hidden">
    <w:name w:val="overflow-hidden"/>
    <w:basedOn w:val="DefaultParagraphFont"/>
    <w:rsid w:val="004C2A5E"/>
  </w:style>
  <w:style w:type="paragraph" w:styleId="ListParagraph">
    <w:name w:val="List Paragraph"/>
    <w:basedOn w:val="Normal"/>
    <w:uiPriority w:val="34"/>
    <w:qFormat/>
    <w:rsid w:val="007040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845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5867"/>
    <w:rPr>
      <w:rFonts w:ascii="Segoe UI" w:hAnsi="Segoe UI" w:cs="Segoe UI"/>
      <w:sz w:val="18"/>
      <w:szCs w:val="1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57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2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8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6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s://www.instagram.com/euintajikistan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eeas.europa.eu/DELEGATIONS/TAJIKISTAN/INDEX_EN.HTM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EUinTajikista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legation-Tajikistan-Pic@eeas.europa.eu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2.jpeg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hyperlink" Target="mailto:khakimovam@who.int" TargetMode="External"/><Relationship Id="rId14" Type="http://schemas.openxmlformats.org/officeDocument/2006/relationships/hyperlink" Target="https://twitter.com/EUinTajikist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9C3F028E9F049A3E7F89F5B3C2A2E" ma:contentTypeVersion="14" ma:contentTypeDescription="Create a new document." ma:contentTypeScope="" ma:versionID="f87ba78d01971a59fbeeff46d3bb6d4f">
  <xsd:schema xmlns:xsd="http://www.w3.org/2001/XMLSchema" xmlns:xs="http://www.w3.org/2001/XMLSchema" xmlns:p="http://schemas.microsoft.com/office/2006/metadata/properties" xmlns:ns2="ea97f49f-4f7d-445a-be01-964140515123" xmlns:ns3="b764d812-51cc-4ea2-8a1a-6be49144b2cc" targetNamespace="http://schemas.microsoft.com/office/2006/metadata/properties" ma:root="true" ma:fieldsID="813b0c1cf0342e821be792aebb8b4754" ns2:_="" ns3:_="">
    <xsd:import namespace="ea97f49f-4f7d-445a-be01-964140515123"/>
    <xsd:import namespace="b764d812-51cc-4ea2-8a1a-6be49144b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7f49f-4f7d-445a-be01-96414051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4d812-51cc-4ea2-8a1a-6be49144b2c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e116c3-2acf-4839-90e1-7e9e19c9842f}" ma:internalName="TaxCatchAll" ma:showField="CatchAllData" ma:web="b764d812-51cc-4ea2-8a1a-6be49144b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64d812-51cc-4ea2-8a1a-6be49144b2cc"/>
    <lcf76f155ced4ddcb4097134ff3c332f xmlns="ea97f49f-4f7d-445a-be01-9641405151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CC21CA-1589-46E6-B528-EF7701286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7f49f-4f7d-445a-be01-964140515123"/>
    <ds:schemaRef ds:uri="b764d812-51cc-4ea2-8a1a-6be49144b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3274F2-A592-4294-A90C-AF0540300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9EFD1-E170-4060-B0F7-4111529BF367}">
  <ds:schemaRefs>
    <ds:schemaRef ds:uri="http://schemas.microsoft.com/office/2006/metadata/properties"/>
    <ds:schemaRef ds:uri="http://schemas.microsoft.com/office/infopath/2007/PartnerControls"/>
    <ds:schemaRef ds:uri="b764d812-51cc-4ea2-8a1a-6be49144b2cc"/>
    <ds:schemaRef ds:uri="ea97f49f-4f7d-445a-be01-9641405151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European Commission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Mahbuba ABDULLAEVA</dc:creator>
  <cp:keywords/>
  <dc:description/>
  <cp:lastModifiedBy>APPAS, Lenara</cp:lastModifiedBy>
  <cp:revision>2</cp:revision>
  <cp:lastPrinted>2011-10-14T06:51:00Z</cp:lastPrinted>
  <dcterms:created xsi:type="dcterms:W3CDTF">2025-02-04T06:20:00Z</dcterms:created>
  <dcterms:modified xsi:type="dcterms:W3CDTF">2025-02-04T06:20:00Z</dcterms:modified>
</cp:coreProperties>
</file>