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A021" w14:textId="7DE906ED" w:rsidR="00487F1B" w:rsidRPr="007C75C1" w:rsidRDefault="00583449" w:rsidP="00646AF2">
      <w:pPr>
        <w:rPr>
          <w:color w:val="1F497D"/>
        </w:rPr>
      </w:pPr>
      <w:r>
        <w:rPr>
          <w:noProof/>
        </w:rPr>
        <w:drawing>
          <wp:anchor distT="0" distB="0" distL="114300" distR="114300" simplePos="0" relativeHeight="251658242" behindDoc="0" locked="0" layoutInCell="1" allowOverlap="1" wp14:anchorId="069B8FE1" wp14:editId="5D8978B8">
            <wp:simplePos x="0" y="0"/>
            <wp:positionH relativeFrom="column">
              <wp:posOffset>-685800</wp:posOffset>
            </wp:positionH>
            <wp:positionV relativeFrom="paragraph">
              <wp:posOffset>-914400</wp:posOffset>
            </wp:positionV>
            <wp:extent cx="7572375" cy="18478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237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3FDBD" w14:textId="77777777" w:rsidR="00487F1B" w:rsidRDefault="00487F1B" w:rsidP="00487F1B">
      <w:pPr>
        <w:rPr>
          <w:color w:val="1F497D"/>
        </w:rPr>
      </w:pPr>
    </w:p>
    <w:p w14:paraId="7409F6ED" w14:textId="77777777" w:rsidR="00D3498F" w:rsidRDefault="00D3498F" w:rsidP="00487F1B">
      <w:pPr>
        <w:rPr>
          <w:color w:val="1F497D"/>
        </w:rPr>
      </w:pPr>
    </w:p>
    <w:p w14:paraId="3D52D5F0" w14:textId="77777777" w:rsidR="00D3498F" w:rsidRDefault="00D3498F" w:rsidP="00487F1B">
      <w:pPr>
        <w:rPr>
          <w:color w:val="1F497D"/>
        </w:rPr>
      </w:pPr>
    </w:p>
    <w:p w14:paraId="2DE63686" w14:textId="2C74848D" w:rsidR="00D3498F" w:rsidRDefault="00583449" w:rsidP="00487F1B">
      <w:pPr>
        <w:rPr>
          <w:color w:val="1F497D"/>
        </w:rPr>
      </w:pPr>
      <w:r w:rsidRPr="007C75C1">
        <w:rPr>
          <w:noProof/>
          <w:color w:val="1F497D"/>
        </w:rPr>
        <mc:AlternateContent>
          <mc:Choice Requires="wps">
            <w:drawing>
              <wp:anchor distT="0" distB="0" distL="114300" distR="114300" simplePos="0" relativeHeight="251658240" behindDoc="0" locked="0" layoutInCell="0" allowOverlap="1" wp14:anchorId="18EB6051" wp14:editId="0DEF3297">
                <wp:simplePos x="0" y="0"/>
                <wp:positionH relativeFrom="column">
                  <wp:posOffset>-695325</wp:posOffset>
                </wp:positionH>
                <wp:positionV relativeFrom="paragraph">
                  <wp:posOffset>196215</wp:posOffset>
                </wp:positionV>
                <wp:extent cx="7561580" cy="396240"/>
                <wp:effectExtent l="0" t="0" r="0" b="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1580" cy="39624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E8A82" w14:textId="77777777" w:rsidR="00646AF2" w:rsidRPr="00646AF2" w:rsidRDefault="00646AF2" w:rsidP="00646AF2">
                            <w:pPr>
                              <w:jc w:val="center"/>
                              <w:rPr>
                                <w:rFonts w:ascii="Arial" w:hAnsi="Arial" w:cs="Arial"/>
                                <w:b/>
                                <w:sz w:val="36"/>
                                <w:szCs w:val="36"/>
                              </w:rPr>
                            </w:pPr>
                            <w:r w:rsidRPr="00646AF2">
                              <w:rPr>
                                <w:rFonts w:ascii="Arial" w:hAnsi="Arial" w:cs="Arial"/>
                                <w:b/>
                                <w:sz w:val="36"/>
                                <w:szCs w:val="36"/>
                              </w:rPr>
                              <w:t>PRESS-RELEASE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B6051" id="Rectangle 12" o:spid="_x0000_s1026" style="position:absolute;margin-left:-54.75pt;margin-top:15.45pt;width:595.4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" o:allowincell="f" fillcolor="navy" stroked="f">
                <v:textbox>
                  <w:txbxContent>
                    <w:p w14:paraId="278E8A82" w14:textId="77777777" w:rsidR="00646AF2" w:rsidRPr="00646AF2" w:rsidRDefault="00646AF2" w:rsidP="00646AF2">
                      <w:pPr>
                        <w:jc w:val="center"/>
                        <w:rPr>
                          <w:rFonts w:ascii="Arial" w:hAnsi="Arial" w:cs="Arial"/>
                          <w:b/>
                          <w:sz w:val="36"/>
                          <w:szCs w:val="36"/>
                        </w:rPr>
                      </w:pPr>
                      <w:r w:rsidRPr="00646AF2">
                        <w:rPr>
                          <w:rFonts w:ascii="Arial" w:hAnsi="Arial" w:cs="Arial"/>
                          <w:b/>
                          <w:sz w:val="36"/>
                          <w:szCs w:val="36"/>
                        </w:rPr>
                        <w:t>PRESS-RELEASE</w:t>
                      </w:r>
                    </w:p>
                  </w:txbxContent>
                </v:textbox>
              </v:rect>
            </w:pict>
          </mc:Fallback>
        </mc:AlternateContent>
      </w:r>
    </w:p>
    <w:p w14:paraId="73C68074" w14:textId="77777777" w:rsidR="00D3498F" w:rsidRDefault="00D3498F" w:rsidP="00487F1B">
      <w:pPr>
        <w:rPr>
          <w:color w:val="1F497D"/>
        </w:rPr>
      </w:pPr>
    </w:p>
    <w:p w14:paraId="213AD0D0" w14:textId="77777777" w:rsidR="00D3498F" w:rsidRDefault="00D3498F" w:rsidP="00487F1B">
      <w:pPr>
        <w:rPr>
          <w:color w:val="1F497D"/>
        </w:rPr>
      </w:pPr>
    </w:p>
    <w:p w14:paraId="686979FA" w14:textId="77777777" w:rsidR="00487F1B" w:rsidRPr="00D3498F" w:rsidRDefault="00487F1B" w:rsidP="00D3498F">
      <w:pPr>
        <w:rPr>
          <w:color w:val="1F497D"/>
          <w:sz w:val="20"/>
          <w:szCs w:val="20"/>
        </w:rPr>
      </w:pPr>
    </w:p>
    <w:p w14:paraId="3179516D" w14:textId="77777777" w:rsidR="00487F1B" w:rsidRPr="00D3498F" w:rsidRDefault="00487F1B" w:rsidP="00D3498F">
      <w:pPr>
        <w:spacing w:after="60"/>
        <w:jc w:val="center"/>
        <w:rPr>
          <w:color w:val="1F497D"/>
          <w:sz w:val="20"/>
          <w:szCs w:val="20"/>
          <w:lang w:val="en-US"/>
        </w:rPr>
      </w:pPr>
    </w:p>
    <w:p w14:paraId="657F533D" w14:textId="1D9847BA" w:rsidR="00DB4C82" w:rsidRPr="007E37A9" w:rsidRDefault="007E37A9" w:rsidP="00B77ADF">
      <w:pPr>
        <w:spacing w:before="100" w:beforeAutospacing="1" w:after="100" w:afterAutospacing="1"/>
        <w:ind w:right="1134"/>
        <w:jc w:val="both"/>
        <w:rPr>
          <w:sz w:val="32"/>
          <w:szCs w:val="32"/>
        </w:rPr>
      </w:pPr>
      <w:r w:rsidRPr="007E37A9">
        <w:rPr>
          <w:sz w:val="32"/>
          <w:szCs w:val="32"/>
        </w:rPr>
        <w:t>Increasing access and affordability of health services: Tajikistan marks progress at high-level meetings in February supported by the European Union</w:t>
      </w:r>
    </w:p>
    <w:p w14:paraId="2D5FDED3" w14:textId="472EB269" w:rsidR="00FD340B" w:rsidRPr="00B77ADF" w:rsidRDefault="00762EAA" w:rsidP="00B77ADF">
      <w:pPr>
        <w:spacing w:before="100" w:beforeAutospacing="1" w:after="100" w:afterAutospacing="1"/>
        <w:ind w:right="1134"/>
        <w:jc w:val="both"/>
        <w:rPr>
          <w:lang w:val="en-TT"/>
        </w:rPr>
      </w:pPr>
      <w:r>
        <w:rPr>
          <w:b/>
          <w:lang w:val="en-TT"/>
        </w:rPr>
        <w:t>06</w:t>
      </w:r>
      <w:r w:rsidR="009466D2" w:rsidRPr="00543BD7">
        <w:rPr>
          <w:b/>
          <w:lang w:val="en-TT"/>
        </w:rPr>
        <w:t xml:space="preserve"> </w:t>
      </w:r>
      <w:r w:rsidR="00D3498F">
        <w:rPr>
          <w:b/>
          <w:lang w:val="en-TT"/>
        </w:rPr>
        <w:t xml:space="preserve">February </w:t>
      </w:r>
      <w:r w:rsidR="009466D2" w:rsidRPr="00543BD7">
        <w:rPr>
          <w:b/>
          <w:lang w:val="en-TT"/>
        </w:rPr>
        <w:t>20</w:t>
      </w:r>
      <w:r w:rsidR="0094106F">
        <w:rPr>
          <w:b/>
          <w:lang w:val="en-TT"/>
        </w:rPr>
        <w:t>2</w:t>
      </w:r>
      <w:r w:rsidR="00D3498F">
        <w:rPr>
          <w:b/>
          <w:lang w:val="en-TT"/>
        </w:rPr>
        <w:t>4</w:t>
      </w:r>
      <w:r w:rsidR="009466D2" w:rsidRPr="00543BD7">
        <w:rPr>
          <w:b/>
          <w:lang w:val="en-TT"/>
        </w:rPr>
        <w:t xml:space="preserve">, Dushanbe </w:t>
      </w:r>
      <w:r w:rsidR="009466D2" w:rsidRPr="009466D2">
        <w:rPr>
          <w:lang w:val="en-TT"/>
        </w:rPr>
        <w:t>–</w:t>
      </w:r>
      <w:r w:rsidR="00E324D2">
        <w:rPr>
          <w:lang w:val="en-TT"/>
        </w:rPr>
        <w:t xml:space="preserve"> </w:t>
      </w:r>
    </w:p>
    <w:p w14:paraId="32BE4A03" w14:textId="671249C5" w:rsidR="007658C1" w:rsidRPr="007658C1" w:rsidRDefault="007658C1" w:rsidP="008B3E95">
      <w:pPr>
        <w:spacing w:before="100" w:beforeAutospacing="1" w:after="100" w:afterAutospacing="1"/>
        <w:jc w:val="both"/>
        <w:rPr>
          <w:lang w:val="en-US" w:eastAsia="en-US"/>
        </w:rPr>
      </w:pPr>
      <w:r w:rsidRPr="007658C1">
        <w:rPr>
          <w:lang w:val="en-US" w:eastAsia="en-US"/>
        </w:rPr>
        <w:t>Tajikistan is making remarkable strides in transforming its health system to ensure essential healthcare services are accessible to all citizens without causing financial hardship. This strong commitment to achieving Universal Health Coverage (UHC) was emphasized at two pivotal events held in February 2025: a High-level Roundtable organized by the World Health Organization (WHO) and the Joint Annual Review hosted by the Ministry of Health and Social Protection of the Population. Both events were made possible through the generous financial support of the European Union (EU).</w:t>
      </w:r>
    </w:p>
    <w:p w14:paraId="492A251D" w14:textId="2CF51F1E" w:rsidR="007658C1" w:rsidRPr="007658C1" w:rsidRDefault="007658C1" w:rsidP="008B3E95">
      <w:pPr>
        <w:spacing w:before="100" w:beforeAutospacing="1" w:after="100" w:afterAutospacing="1"/>
        <w:jc w:val="both"/>
        <w:rPr>
          <w:lang w:val="en-US" w:eastAsia="en-US"/>
        </w:rPr>
      </w:pPr>
      <w:r w:rsidRPr="007658C1">
        <w:rPr>
          <w:b/>
          <w:bCs/>
          <w:lang w:val="en-US" w:eastAsia="en-US"/>
        </w:rPr>
        <w:t>High-</w:t>
      </w:r>
      <w:r w:rsidR="004F02EA">
        <w:rPr>
          <w:b/>
          <w:bCs/>
          <w:lang w:val="en-US" w:eastAsia="en-US"/>
        </w:rPr>
        <w:t>l</w:t>
      </w:r>
      <w:r w:rsidRPr="007658C1">
        <w:rPr>
          <w:b/>
          <w:bCs/>
          <w:lang w:val="en-US" w:eastAsia="en-US"/>
        </w:rPr>
        <w:t xml:space="preserve">evel </w:t>
      </w:r>
      <w:r w:rsidR="004F02EA">
        <w:rPr>
          <w:b/>
          <w:bCs/>
          <w:lang w:val="en-US" w:eastAsia="en-US"/>
        </w:rPr>
        <w:t>R</w:t>
      </w:r>
      <w:r w:rsidRPr="007658C1">
        <w:rPr>
          <w:b/>
          <w:bCs/>
          <w:lang w:val="en-US" w:eastAsia="en-US"/>
        </w:rPr>
        <w:t xml:space="preserve">oundtable: Pioneering </w:t>
      </w:r>
      <w:r w:rsidR="004F02EA">
        <w:rPr>
          <w:b/>
          <w:bCs/>
          <w:lang w:val="en-US" w:eastAsia="en-US"/>
        </w:rPr>
        <w:t>h</w:t>
      </w:r>
      <w:r w:rsidRPr="007658C1">
        <w:rPr>
          <w:b/>
          <w:bCs/>
          <w:lang w:val="en-US" w:eastAsia="en-US"/>
        </w:rPr>
        <w:t xml:space="preserve">ealth </w:t>
      </w:r>
      <w:r w:rsidR="004F02EA">
        <w:rPr>
          <w:b/>
          <w:bCs/>
          <w:lang w:val="en-US" w:eastAsia="en-US"/>
        </w:rPr>
        <w:t>f</w:t>
      </w:r>
      <w:r w:rsidRPr="007658C1">
        <w:rPr>
          <w:b/>
          <w:bCs/>
          <w:lang w:val="en-US" w:eastAsia="en-US"/>
        </w:rPr>
        <w:t xml:space="preserve">inancing </w:t>
      </w:r>
      <w:r w:rsidR="004F02EA">
        <w:rPr>
          <w:b/>
          <w:bCs/>
          <w:lang w:val="en-US" w:eastAsia="en-US"/>
        </w:rPr>
        <w:t>r</w:t>
      </w:r>
      <w:r w:rsidRPr="007658C1">
        <w:rPr>
          <w:b/>
          <w:bCs/>
          <w:lang w:val="en-US" w:eastAsia="en-US"/>
        </w:rPr>
        <w:t>eforms</w:t>
      </w:r>
    </w:p>
    <w:p w14:paraId="70DEA312" w14:textId="14911333" w:rsidR="007658C1" w:rsidRPr="007658C1" w:rsidRDefault="007658C1" w:rsidP="008B3E95">
      <w:pPr>
        <w:spacing w:before="100" w:beforeAutospacing="1" w:after="100" w:afterAutospacing="1"/>
        <w:jc w:val="both"/>
        <w:rPr>
          <w:lang w:val="en-US" w:eastAsia="en-US"/>
        </w:rPr>
      </w:pPr>
      <w:r w:rsidRPr="007658C1">
        <w:rPr>
          <w:lang w:val="en-US" w:eastAsia="en-US"/>
        </w:rPr>
        <w:t>The High-level Roundtable focused on the progress of health financing reforms, specifically the launch of an innovative pilot program</w:t>
      </w:r>
      <w:r w:rsidR="00693658">
        <w:rPr>
          <w:lang w:val="en-US" w:eastAsia="en-US"/>
        </w:rPr>
        <w:t>me</w:t>
      </w:r>
      <w:r w:rsidRPr="007658C1">
        <w:rPr>
          <w:lang w:val="en-US" w:eastAsia="en-US"/>
        </w:rPr>
        <w:t xml:space="preserve"> in Sughd Oblast, which began on January 1, 2025. This pilot introduces new health financing mechanisms for primary healthcare institutions across five districts and cities: Devashtich, Asht, Shahriston, Kuhistoni Mastchoh, and Istiklol.</w:t>
      </w:r>
      <w:r w:rsidR="0012781E">
        <w:rPr>
          <w:lang w:val="en-US" w:eastAsia="en-US"/>
        </w:rPr>
        <w:t xml:space="preserve"> </w:t>
      </w:r>
    </w:p>
    <w:p w14:paraId="2822EC11" w14:textId="4AC30119" w:rsidR="007658C1" w:rsidRPr="007658C1" w:rsidRDefault="007658C1" w:rsidP="008B3E95">
      <w:pPr>
        <w:spacing w:before="100" w:beforeAutospacing="1" w:after="100" w:afterAutospacing="1"/>
        <w:jc w:val="both"/>
        <w:rPr>
          <w:lang w:val="en-US" w:eastAsia="en-US"/>
        </w:rPr>
      </w:pPr>
      <w:r w:rsidRPr="00271A71">
        <w:rPr>
          <w:i/>
          <w:iCs/>
          <w:lang w:val="en-US" w:eastAsia="en-US"/>
        </w:rPr>
        <w:t>“The adoption of Resolution 438, which formalizes the introduction of new health financing mechanisms in Sughd Oblast, represents a key milestone in Tajikistan’s journey toward a modern and sustainable health system,”</w:t>
      </w:r>
      <w:r w:rsidR="008B3E95">
        <w:rPr>
          <w:lang w:val="en-US" w:eastAsia="en-US"/>
        </w:rPr>
        <w:t xml:space="preserve"> said</w:t>
      </w:r>
      <w:r w:rsidRPr="007658C1">
        <w:rPr>
          <w:lang w:val="en-US" w:eastAsia="en-US"/>
        </w:rPr>
        <w:t xml:space="preserve"> </w:t>
      </w:r>
      <w:r w:rsidR="008B3E95" w:rsidRPr="008B3E95">
        <w:rPr>
          <w:lang w:val="en-US" w:eastAsia="en-US"/>
        </w:rPr>
        <w:t xml:space="preserve">Qurboniyon Sarvar Sobir, Deputy Minister of </w:t>
      </w:r>
      <w:r w:rsidR="008B3E95">
        <w:rPr>
          <w:lang w:val="en-US" w:eastAsia="en-US"/>
        </w:rPr>
        <w:t>F</w:t>
      </w:r>
      <w:r w:rsidR="008B3E95" w:rsidRPr="008B3E95">
        <w:rPr>
          <w:lang w:val="en-US" w:eastAsia="en-US"/>
        </w:rPr>
        <w:t xml:space="preserve">inance of the Republic of Tajikistan  </w:t>
      </w:r>
    </w:p>
    <w:p w14:paraId="5EC70BD6" w14:textId="77777777" w:rsidR="007658C1" w:rsidRDefault="007658C1" w:rsidP="008B3E95">
      <w:pPr>
        <w:spacing w:before="100" w:beforeAutospacing="1" w:after="100" w:afterAutospacing="1"/>
        <w:jc w:val="both"/>
        <w:rPr>
          <w:lang w:val="en-US" w:eastAsia="en-US"/>
        </w:rPr>
      </w:pPr>
      <w:r w:rsidRPr="007658C1">
        <w:rPr>
          <w:lang w:val="en-US" w:eastAsia="en-US"/>
        </w:rPr>
        <w:t>Central to the reform is the shift to performance-based payments, where healthcare providers are compensated based on the quality of services delivered. This model not only grants healthcare providers greater decision-making autonomy but also improves the management of public funds, ultimately benefiting the health of the population. During the roundtable, stakeholders discussed the potential for scaling these reforms nationwide and stressed the importance of strategic purchasing as a cornerstone for broader health system transformation.</w:t>
      </w:r>
    </w:p>
    <w:p w14:paraId="41DED29B" w14:textId="798F7303" w:rsidR="0012781E" w:rsidRPr="007658C1" w:rsidRDefault="0012781E" w:rsidP="008B3E95">
      <w:pPr>
        <w:spacing w:before="100" w:beforeAutospacing="1" w:after="100" w:afterAutospacing="1"/>
        <w:jc w:val="both"/>
        <w:rPr>
          <w:lang w:val="en-US" w:eastAsia="en-US"/>
        </w:rPr>
      </w:pPr>
      <w:r w:rsidRPr="007658C1">
        <w:rPr>
          <w:lang w:val="en-US" w:eastAsia="en-US"/>
        </w:rPr>
        <w:t xml:space="preserve">WHO experts presented findings from </w:t>
      </w:r>
      <w:r w:rsidR="00167DF1">
        <w:rPr>
          <w:lang w:val="en-US" w:eastAsia="en-US"/>
        </w:rPr>
        <w:t>a key study on primary health care financing</w:t>
      </w:r>
      <w:r w:rsidRPr="007658C1">
        <w:rPr>
          <w:lang w:val="en-US" w:eastAsia="en-US"/>
        </w:rPr>
        <w:t xml:space="preserve"> </w:t>
      </w:r>
      <w:r w:rsidR="00167DF1">
        <w:rPr>
          <w:lang w:val="en-US" w:eastAsia="en-US"/>
        </w:rPr>
        <w:t>during the Round Table event,</w:t>
      </w:r>
      <w:r w:rsidRPr="007658C1">
        <w:rPr>
          <w:lang w:val="en-US" w:eastAsia="en-US"/>
        </w:rPr>
        <w:t xml:space="preserve"> </w:t>
      </w:r>
      <w:r w:rsidR="002E0B4F">
        <w:t>providing invaluable insights to inform policy options and guide decision-making.</w:t>
      </w:r>
    </w:p>
    <w:p w14:paraId="151DEB69" w14:textId="57B178A0" w:rsidR="007658C1" w:rsidRPr="00271A71" w:rsidRDefault="007658C1" w:rsidP="00271A71">
      <w:pPr>
        <w:widowControl w:val="0"/>
        <w:autoSpaceDE w:val="0"/>
        <w:autoSpaceDN w:val="0"/>
        <w:contextualSpacing/>
        <w:jc w:val="both"/>
        <w:rPr>
          <w:rFonts w:eastAsia="SimSun"/>
          <w:i/>
          <w:iCs/>
          <w:sz w:val="20"/>
          <w:szCs w:val="20"/>
          <w:lang w:bidi="en-US"/>
        </w:rPr>
      </w:pPr>
      <w:r w:rsidRPr="00271A71">
        <w:rPr>
          <w:i/>
          <w:iCs/>
          <w:lang w:val="en-US" w:eastAsia="en-US"/>
        </w:rPr>
        <w:t>“The strong collaboration between the Ministry of Health and Social Protection of the Population and the Ministry of Finance has been essential in advancing these critical health financing reforms. Additionally, the technical expertise of WHO and the financial support from the European Union have</w:t>
      </w:r>
      <w:r w:rsidRPr="007658C1">
        <w:rPr>
          <w:lang w:val="en-US" w:eastAsia="en-US"/>
        </w:rPr>
        <w:t xml:space="preserve"> </w:t>
      </w:r>
      <w:r w:rsidRPr="00271A71">
        <w:rPr>
          <w:i/>
          <w:iCs/>
          <w:lang w:val="en-US" w:eastAsia="en-US"/>
        </w:rPr>
        <w:t xml:space="preserve">been key enablers in making this progress possible,” said </w:t>
      </w:r>
      <w:r w:rsidR="00C121A9" w:rsidRPr="00271A71">
        <w:rPr>
          <w:i/>
          <w:iCs/>
          <w:lang w:val="en-US" w:eastAsia="en-US"/>
        </w:rPr>
        <w:t xml:space="preserve">First Deputy Minister of </w:t>
      </w:r>
      <w:r w:rsidR="0012781E" w:rsidRPr="00271A71">
        <w:rPr>
          <w:i/>
          <w:iCs/>
          <w:lang w:val="en-US" w:eastAsia="en-US"/>
        </w:rPr>
        <w:t>H</w:t>
      </w:r>
      <w:r w:rsidR="00C121A9" w:rsidRPr="00271A71">
        <w:rPr>
          <w:i/>
          <w:iCs/>
          <w:lang w:val="en-US" w:eastAsia="en-US"/>
        </w:rPr>
        <w:t xml:space="preserve">ealth and </w:t>
      </w:r>
      <w:r w:rsidR="0012781E" w:rsidRPr="00271A71">
        <w:rPr>
          <w:i/>
          <w:iCs/>
          <w:lang w:val="en-US" w:eastAsia="en-US"/>
        </w:rPr>
        <w:t>S</w:t>
      </w:r>
      <w:r w:rsidR="00C121A9" w:rsidRPr="00271A71">
        <w:rPr>
          <w:i/>
          <w:iCs/>
          <w:lang w:val="en-US" w:eastAsia="en-US"/>
        </w:rPr>
        <w:t xml:space="preserve">ocial </w:t>
      </w:r>
      <w:r w:rsidR="0012781E" w:rsidRPr="00271A71">
        <w:rPr>
          <w:i/>
          <w:iCs/>
          <w:lang w:val="en-US" w:eastAsia="en-US"/>
        </w:rPr>
        <w:t>Pr</w:t>
      </w:r>
      <w:r w:rsidR="00C121A9" w:rsidRPr="00271A71">
        <w:rPr>
          <w:i/>
          <w:iCs/>
          <w:lang w:val="en-US" w:eastAsia="en-US"/>
        </w:rPr>
        <w:t>otection of the Republic of Tajikistan</w:t>
      </w:r>
      <w:r w:rsidR="00670B3B" w:rsidRPr="00271A71">
        <w:rPr>
          <w:i/>
          <w:iCs/>
          <w:lang w:val="en-US" w:eastAsia="en-US"/>
        </w:rPr>
        <w:t xml:space="preserve">, Dr. Gafur Mukhsinzoda. </w:t>
      </w:r>
    </w:p>
    <w:p w14:paraId="642CE963" w14:textId="77777777" w:rsidR="004F02EA" w:rsidRDefault="004F02EA" w:rsidP="00271A71">
      <w:pPr>
        <w:spacing w:before="100" w:beforeAutospacing="1" w:after="100" w:afterAutospacing="1"/>
        <w:jc w:val="both"/>
        <w:rPr>
          <w:b/>
          <w:bCs/>
          <w:lang w:val="en-US" w:eastAsia="en-US"/>
        </w:rPr>
      </w:pPr>
    </w:p>
    <w:p w14:paraId="05419CCA" w14:textId="52B77C6B" w:rsidR="00A73BAA" w:rsidRPr="00A73BAA" w:rsidRDefault="00A73BAA" w:rsidP="00271A71">
      <w:pPr>
        <w:spacing w:before="100" w:beforeAutospacing="1" w:after="100" w:afterAutospacing="1"/>
        <w:jc w:val="both"/>
        <w:rPr>
          <w:b/>
          <w:bCs/>
          <w:lang w:val="en-US" w:eastAsia="en-US"/>
        </w:rPr>
      </w:pPr>
      <w:r w:rsidRPr="00A73BAA">
        <w:rPr>
          <w:b/>
          <w:bCs/>
          <w:lang w:val="en-US" w:eastAsia="en-US"/>
        </w:rPr>
        <w:lastRenderedPageBreak/>
        <w:t xml:space="preserve">Joint Annual Review: EU and WHO commend Tajikistan for progress in the health sector and call for accelerated action to </w:t>
      </w:r>
      <w:r>
        <w:rPr>
          <w:b/>
          <w:bCs/>
          <w:lang w:val="en-US" w:eastAsia="en-US"/>
        </w:rPr>
        <w:t>improve access and affordability of health services</w:t>
      </w:r>
    </w:p>
    <w:p w14:paraId="1FABAABC" w14:textId="1B5FF324" w:rsidR="00B141E8" w:rsidRPr="005C1162" w:rsidRDefault="007658C1" w:rsidP="005C1162">
      <w:pPr>
        <w:spacing w:before="100" w:beforeAutospacing="1" w:after="100" w:afterAutospacing="1"/>
        <w:jc w:val="both"/>
        <w:rPr>
          <w:lang w:val="en-US" w:eastAsia="en-US"/>
        </w:rPr>
      </w:pPr>
      <w:r w:rsidRPr="007658C1">
        <w:rPr>
          <w:lang w:val="en-US" w:eastAsia="en-US"/>
        </w:rPr>
        <w:t>Ahead of the Roundtable,</w:t>
      </w:r>
      <w:r w:rsidR="00426BDD">
        <w:rPr>
          <w:lang w:val="en-US" w:eastAsia="en-US"/>
        </w:rPr>
        <w:t xml:space="preserve"> </w:t>
      </w:r>
      <w:r w:rsidR="00CF75FB">
        <w:rPr>
          <w:lang w:val="en-US" w:eastAsia="en-US"/>
        </w:rPr>
        <w:t>EU and WHO</w:t>
      </w:r>
      <w:r w:rsidR="00426BDD">
        <w:rPr>
          <w:lang w:val="en-US" w:eastAsia="en-US"/>
        </w:rPr>
        <w:t xml:space="preserve"> </w:t>
      </w:r>
      <w:r w:rsidR="004C61C7">
        <w:rPr>
          <w:lang w:val="en-US" w:eastAsia="en-US"/>
        </w:rPr>
        <w:t xml:space="preserve">supported the Ministry of Health and Social Protection in the organization of the </w:t>
      </w:r>
      <w:r w:rsidRPr="007658C1">
        <w:rPr>
          <w:lang w:val="en-US" w:eastAsia="en-US"/>
        </w:rPr>
        <w:t>Joint Annual Review</w:t>
      </w:r>
      <w:r w:rsidR="004C61C7">
        <w:rPr>
          <w:lang w:val="en-US" w:eastAsia="en-US"/>
        </w:rPr>
        <w:t xml:space="preserve"> of the Strategy</w:t>
      </w:r>
      <w:r w:rsidRPr="007658C1">
        <w:rPr>
          <w:lang w:val="en-US" w:eastAsia="en-US"/>
        </w:rPr>
        <w:t xml:space="preserve"> </w:t>
      </w:r>
      <w:r w:rsidR="004C61C7">
        <w:rPr>
          <w:lang w:val="en-US" w:eastAsia="en-US"/>
        </w:rPr>
        <w:t>for</w:t>
      </w:r>
      <w:r w:rsidRPr="007658C1">
        <w:rPr>
          <w:lang w:val="en-US" w:eastAsia="en-US"/>
        </w:rPr>
        <w:t xml:space="preserve"> Health</w:t>
      </w:r>
      <w:r w:rsidR="004C61C7">
        <w:rPr>
          <w:lang w:val="en-US" w:eastAsia="en-US"/>
        </w:rPr>
        <w:t>care</w:t>
      </w:r>
      <w:r w:rsidRPr="007658C1">
        <w:rPr>
          <w:lang w:val="en-US" w:eastAsia="en-US"/>
        </w:rPr>
        <w:t xml:space="preserve"> of the Population up to 2030</w:t>
      </w:r>
      <w:r w:rsidR="00CF75FB">
        <w:rPr>
          <w:lang w:val="en-US" w:eastAsia="en-US"/>
        </w:rPr>
        <w:t xml:space="preserve">. </w:t>
      </w:r>
      <w:r w:rsidR="004C61C7">
        <w:rPr>
          <w:lang w:val="en-US" w:eastAsia="en-US"/>
        </w:rPr>
        <w:t xml:space="preserve">The event, which took place on </w:t>
      </w:r>
      <w:r w:rsidR="00845867">
        <w:rPr>
          <w:lang w:val="en-US" w:eastAsia="en-US"/>
        </w:rPr>
        <w:t xml:space="preserve">5 </w:t>
      </w:r>
      <w:r w:rsidR="004C61C7">
        <w:rPr>
          <w:lang w:val="en-US" w:eastAsia="en-US"/>
        </w:rPr>
        <w:t xml:space="preserve">February, </w:t>
      </w:r>
      <w:r w:rsidRPr="007658C1">
        <w:rPr>
          <w:lang w:val="en-US" w:eastAsia="en-US"/>
        </w:rPr>
        <w:t>brought together government representatives</w:t>
      </w:r>
      <w:r w:rsidR="004C61C7">
        <w:rPr>
          <w:lang w:val="en-US" w:eastAsia="en-US"/>
        </w:rPr>
        <w:t xml:space="preserve"> </w:t>
      </w:r>
      <w:r w:rsidRPr="007658C1">
        <w:rPr>
          <w:lang w:val="en-US" w:eastAsia="en-US"/>
        </w:rPr>
        <w:t>and development partners to review the year’s accomplishments and identify key priorities for 2025.</w:t>
      </w:r>
    </w:p>
    <w:p w14:paraId="1FB91329" w14:textId="16D76B13" w:rsidR="00CF75FB" w:rsidRDefault="005C1162" w:rsidP="001B39C3">
      <w:pPr>
        <w:spacing w:before="240" w:line="276" w:lineRule="auto"/>
        <w:jc w:val="both"/>
        <w:rPr>
          <w:i/>
        </w:rPr>
      </w:pPr>
      <w:r>
        <w:rPr>
          <w:i/>
        </w:rPr>
        <w:t>“</w:t>
      </w:r>
      <w:r w:rsidR="0070408E" w:rsidRPr="005C1162">
        <w:rPr>
          <w:i/>
        </w:rPr>
        <w:t>European Union</w:t>
      </w:r>
      <w:r w:rsidR="004A48B7" w:rsidRPr="005C1162">
        <w:rPr>
          <w:i/>
        </w:rPr>
        <w:t>’s</w:t>
      </w:r>
      <w:r w:rsidR="0070408E" w:rsidRPr="00B141E8">
        <w:rPr>
          <w:i/>
        </w:rPr>
        <w:t xml:space="preserve"> actions are committed </w:t>
      </w:r>
      <w:r w:rsidR="00273DCE" w:rsidRPr="00B141E8">
        <w:rPr>
          <w:i/>
        </w:rPr>
        <w:t xml:space="preserve">worldwide </w:t>
      </w:r>
      <w:r w:rsidR="0070408E" w:rsidRPr="00B141E8">
        <w:rPr>
          <w:i/>
        </w:rPr>
        <w:t>to achieve </w:t>
      </w:r>
      <w:r w:rsidR="0070408E" w:rsidRPr="00B141E8">
        <w:rPr>
          <w:rStyle w:val="Strong"/>
          <w:b w:val="0"/>
          <w:i/>
        </w:rPr>
        <w:t>universal h</w:t>
      </w:r>
      <w:r w:rsidR="00273DCE" w:rsidRPr="00B141E8">
        <w:rPr>
          <w:rStyle w:val="Strong"/>
          <w:b w:val="0"/>
          <w:i/>
        </w:rPr>
        <w:t xml:space="preserve">ealth coverage </w:t>
      </w:r>
      <w:r w:rsidR="0070408E" w:rsidRPr="00B141E8">
        <w:rPr>
          <w:rStyle w:val="Strong"/>
          <w:b w:val="0"/>
          <w:i/>
        </w:rPr>
        <w:t>and</w:t>
      </w:r>
      <w:r w:rsidR="00273DCE" w:rsidRPr="00B141E8">
        <w:rPr>
          <w:rStyle w:val="Strong"/>
          <w:b w:val="0"/>
          <w:i/>
        </w:rPr>
        <w:t xml:space="preserve"> to assure the well-being and </w:t>
      </w:r>
      <w:r w:rsidR="00B141E8" w:rsidRPr="00B141E8">
        <w:rPr>
          <w:rStyle w:val="Strong"/>
          <w:b w:val="0"/>
          <w:i/>
        </w:rPr>
        <w:t xml:space="preserve">lives of citizens worldwide. </w:t>
      </w:r>
      <w:r w:rsidR="0070408E" w:rsidRPr="00B141E8">
        <w:rPr>
          <w:i/>
        </w:rPr>
        <w:t xml:space="preserve">We are proud to be supporting the </w:t>
      </w:r>
      <w:r w:rsidR="00B141E8" w:rsidRPr="00B141E8">
        <w:rPr>
          <w:i/>
        </w:rPr>
        <w:t xml:space="preserve">Tajik </w:t>
      </w:r>
      <w:r w:rsidR="0070408E" w:rsidRPr="00B141E8">
        <w:rPr>
          <w:i/>
        </w:rPr>
        <w:t xml:space="preserve">National Healthcare Strategy and </w:t>
      </w:r>
      <w:r w:rsidR="00B141E8" w:rsidRPr="00B141E8">
        <w:rPr>
          <w:i/>
        </w:rPr>
        <w:t xml:space="preserve">its achievement </w:t>
      </w:r>
      <w:r w:rsidR="00273DCE" w:rsidRPr="00B141E8">
        <w:rPr>
          <w:i/>
        </w:rPr>
        <w:t xml:space="preserve">through </w:t>
      </w:r>
      <w:r w:rsidR="00B141E8" w:rsidRPr="00B141E8">
        <w:rPr>
          <w:i/>
        </w:rPr>
        <w:t xml:space="preserve">our </w:t>
      </w:r>
      <w:r w:rsidR="0070408E" w:rsidRPr="00B141E8">
        <w:rPr>
          <w:i/>
        </w:rPr>
        <w:t xml:space="preserve">Health Development Programme. </w:t>
      </w:r>
      <w:r w:rsidR="00B141E8" w:rsidRPr="00B141E8">
        <w:rPr>
          <w:i/>
        </w:rPr>
        <w:t>Addressing health challenges, in a changing world, needs to remain a priority</w:t>
      </w:r>
      <w:r>
        <w:rPr>
          <w:i/>
        </w:rPr>
        <w:t>” – Mrs.</w:t>
      </w:r>
      <w:r w:rsidRPr="005C1162">
        <w:rPr>
          <w:i/>
          <w:iCs/>
          <w:lang w:val="en-US"/>
        </w:rPr>
        <w:t xml:space="preserve"> Isabel</w:t>
      </w:r>
      <w:r>
        <w:rPr>
          <w:i/>
          <w:iCs/>
          <w:lang w:val="en-US"/>
        </w:rPr>
        <w:t xml:space="preserve"> Uriz Hernandez,</w:t>
      </w:r>
      <w:r w:rsidRPr="005C1162">
        <w:rPr>
          <w:i/>
          <w:iCs/>
          <w:lang w:val="en-US"/>
        </w:rPr>
        <w:t xml:space="preserve"> Head of Cooperation</w:t>
      </w:r>
      <w:r>
        <w:rPr>
          <w:i/>
          <w:iCs/>
          <w:lang w:val="en-US"/>
        </w:rPr>
        <w:t xml:space="preserve"> </w:t>
      </w:r>
      <w:r w:rsidR="00E26262">
        <w:rPr>
          <w:i/>
          <w:iCs/>
          <w:lang w:val="en-US"/>
        </w:rPr>
        <w:t>at</w:t>
      </w:r>
      <w:r>
        <w:rPr>
          <w:i/>
          <w:iCs/>
          <w:lang w:val="en-US"/>
        </w:rPr>
        <w:t xml:space="preserve"> the European Union Delegation to the Republic of Tajikistan. </w:t>
      </w:r>
    </w:p>
    <w:p w14:paraId="6133817B" w14:textId="77777777" w:rsidR="001B39C3" w:rsidRPr="001B39C3" w:rsidRDefault="001B39C3" w:rsidP="001B39C3">
      <w:pPr>
        <w:spacing w:before="240" w:line="276" w:lineRule="auto"/>
        <w:jc w:val="both"/>
        <w:rPr>
          <w:i/>
        </w:rPr>
      </w:pPr>
    </w:p>
    <w:p w14:paraId="5834D32B" w14:textId="77777777" w:rsidR="00190174" w:rsidRDefault="00190174" w:rsidP="00271A71">
      <w:pPr>
        <w:spacing w:before="100" w:beforeAutospacing="1" w:after="100" w:afterAutospacing="1"/>
        <w:jc w:val="both"/>
        <w:rPr>
          <w:lang w:val="en-US" w:eastAsia="en-US"/>
        </w:rPr>
      </w:pPr>
      <w:r>
        <w:rPr>
          <w:lang w:val="en-US" w:eastAsia="en-US"/>
        </w:rPr>
        <w:t xml:space="preserve">WHO was represented by </w:t>
      </w:r>
      <w:r w:rsidR="007658C1" w:rsidRPr="007658C1">
        <w:rPr>
          <w:lang w:val="en-US" w:eastAsia="en-US"/>
        </w:rPr>
        <w:t xml:space="preserve">Dr. </w:t>
      </w:r>
      <w:r>
        <w:rPr>
          <w:lang w:val="en-US" w:eastAsia="en-US"/>
        </w:rPr>
        <w:t xml:space="preserve">Igor </w:t>
      </w:r>
      <w:r w:rsidR="007658C1" w:rsidRPr="007658C1">
        <w:rPr>
          <w:lang w:val="en-US" w:eastAsia="en-US"/>
        </w:rPr>
        <w:t xml:space="preserve">Pokanevych, Senior Officer at </w:t>
      </w:r>
      <w:r>
        <w:rPr>
          <w:lang w:val="en-US" w:eastAsia="en-US"/>
        </w:rPr>
        <w:t xml:space="preserve">the </w:t>
      </w:r>
      <w:r w:rsidR="007658C1" w:rsidRPr="007658C1">
        <w:rPr>
          <w:lang w:val="en-US" w:eastAsia="en-US"/>
        </w:rPr>
        <w:t xml:space="preserve">WHO </w:t>
      </w:r>
      <w:r>
        <w:rPr>
          <w:lang w:val="en-US" w:eastAsia="en-US"/>
        </w:rPr>
        <w:t xml:space="preserve">in </w:t>
      </w:r>
      <w:r w:rsidR="007658C1" w:rsidRPr="007658C1">
        <w:rPr>
          <w:lang w:val="en-US" w:eastAsia="en-US"/>
        </w:rPr>
        <w:t>New York and former WHO Representative to Tajikistan</w:t>
      </w:r>
      <w:r>
        <w:rPr>
          <w:lang w:val="en-US" w:eastAsia="en-US"/>
        </w:rPr>
        <w:t>. Dr. Pokanevych</w:t>
      </w:r>
      <w:r w:rsidR="007658C1" w:rsidRPr="007658C1">
        <w:rPr>
          <w:lang w:val="en-US" w:eastAsia="en-US"/>
        </w:rPr>
        <w:t xml:space="preserve"> praised the country’s health system advancements. </w:t>
      </w:r>
    </w:p>
    <w:p w14:paraId="44B0D62C" w14:textId="77777777" w:rsidR="00113EC6" w:rsidRDefault="00113EC6" w:rsidP="00271A71">
      <w:pPr>
        <w:spacing w:before="100" w:beforeAutospacing="1" w:after="100" w:afterAutospacing="1"/>
        <w:jc w:val="both"/>
      </w:pPr>
      <w:r w:rsidRPr="00693658">
        <w:rPr>
          <w:i/>
          <w:iCs/>
        </w:rPr>
        <w:t>"I commend the Ministry of Health and Social Protection for its outstanding achievements over the past decade, particularly in advancing health system reforms. However, we must maintain this momentum. Given the global challenges and shifting geopolitical landscape, it is more important than ever that we work together to create lasting impact. WHO remains fully committed to supporting Tajikistan in building a resilient and equitable health system,"</w:t>
      </w:r>
      <w:r>
        <w:t xml:space="preserve"> Dr. Pokanevych stated.</w:t>
      </w:r>
    </w:p>
    <w:p w14:paraId="64A9F56D" w14:textId="722A38BB" w:rsidR="00FC5620" w:rsidRPr="00FC5620" w:rsidRDefault="00FC5620" w:rsidP="00271A71">
      <w:pPr>
        <w:spacing w:before="100" w:beforeAutospacing="1" w:after="100" w:afterAutospacing="1"/>
        <w:jc w:val="both"/>
        <w:rPr>
          <w:lang w:val="en-US" w:eastAsia="en-US"/>
        </w:rPr>
      </w:pPr>
      <w:r w:rsidRPr="00FC5620">
        <w:rPr>
          <w:b/>
          <w:bCs/>
          <w:lang w:val="en-US" w:eastAsia="en-US"/>
        </w:rPr>
        <w:t xml:space="preserve">The European Union's </w:t>
      </w:r>
      <w:r w:rsidR="004F02EA">
        <w:rPr>
          <w:b/>
          <w:bCs/>
          <w:lang w:val="en-US" w:eastAsia="en-US"/>
        </w:rPr>
        <w:t>c</w:t>
      </w:r>
      <w:r w:rsidRPr="00FC5620">
        <w:rPr>
          <w:b/>
          <w:bCs/>
          <w:lang w:val="en-US" w:eastAsia="en-US"/>
        </w:rPr>
        <w:t xml:space="preserve">ontribution to Tajikistan’s </w:t>
      </w:r>
      <w:r w:rsidR="004F02EA">
        <w:rPr>
          <w:b/>
          <w:bCs/>
          <w:lang w:val="en-US" w:eastAsia="en-US"/>
        </w:rPr>
        <w:t>h</w:t>
      </w:r>
      <w:r w:rsidRPr="00FC5620">
        <w:rPr>
          <w:b/>
          <w:bCs/>
          <w:lang w:val="en-US" w:eastAsia="en-US"/>
        </w:rPr>
        <w:t xml:space="preserve">ealth </w:t>
      </w:r>
      <w:r w:rsidR="004F02EA">
        <w:rPr>
          <w:b/>
          <w:bCs/>
          <w:lang w:val="en-US" w:eastAsia="en-US"/>
        </w:rPr>
        <w:t>s</w:t>
      </w:r>
      <w:r w:rsidRPr="00FC5620">
        <w:rPr>
          <w:b/>
          <w:bCs/>
          <w:lang w:val="en-US" w:eastAsia="en-US"/>
        </w:rPr>
        <w:t>ector</w:t>
      </w:r>
    </w:p>
    <w:p w14:paraId="2AF69C9A" w14:textId="5E719412" w:rsidR="00762EAA" w:rsidRPr="00762EAA" w:rsidRDefault="00AF320F" w:rsidP="00271A71">
      <w:pPr>
        <w:spacing w:before="100" w:beforeAutospacing="1" w:after="100" w:afterAutospacing="1"/>
        <w:jc w:val="both"/>
        <w:rPr>
          <w:lang w:val="en-US" w:eastAsia="en-US"/>
        </w:rPr>
      </w:pPr>
      <w:r>
        <w:rPr>
          <w:lang w:val="en-US" w:eastAsia="en-US"/>
        </w:rPr>
        <w:t xml:space="preserve">The year </w:t>
      </w:r>
      <w:r w:rsidR="00FC5620">
        <w:rPr>
          <w:lang w:val="en-US" w:eastAsia="en-US"/>
        </w:rPr>
        <w:t>2025 marks the final year of the</w:t>
      </w:r>
      <w:r w:rsidR="00FC5620" w:rsidRPr="00FC5620">
        <w:rPr>
          <w:lang w:val="en-US" w:eastAsia="en-US"/>
        </w:rPr>
        <w:t xml:space="preserve"> EU-funded Health Development Programme (2021-2025). This program</w:t>
      </w:r>
      <w:r w:rsidR="00693658">
        <w:rPr>
          <w:lang w:val="en-US" w:eastAsia="en-US"/>
        </w:rPr>
        <w:t>me</w:t>
      </w:r>
      <w:r w:rsidR="00FC5620" w:rsidRPr="00FC5620">
        <w:rPr>
          <w:lang w:val="en-US" w:eastAsia="en-US"/>
        </w:rPr>
        <w:t xml:space="preserve"> focuses on strengthening primary healthcare governance, financing, and access to essential services, including outpatient medicines. With both financial and technical support, the EU helps Tajikistan build a more resilient and equitable health system, advancing the country’s goal of Universal Health Coverage. Over the past decade, the EU has invested over 60 million euros in supporting these efforts.</w:t>
      </w:r>
    </w:p>
    <w:p w14:paraId="6FEEC664" w14:textId="77777777" w:rsidR="00D3498F" w:rsidRPr="00D3498F" w:rsidRDefault="00D3498F" w:rsidP="00D3498F">
      <w:pPr>
        <w:spacing w:before="100" w:beforeAutospacing="1" w:after="100" w:afterAutospacing="1"/>
        <w:ind w:right="1134"/>
        <w:jc w:val="both"/>
      </w:pPr>
    </w:p>
    <w:p w14:paraId="363DE91C" w14:textId="525F0785" w:rsidR="00BA79FA" w:rsidRDefault="00BA79FA" w:rsidP="00D3498F">
      <w:pPr>
        <w:spacing w:before="100" w:beforeAutospacing="1" w:after="100" w:afterAutospacing="1"/>
        <w:ind w:right="1134"/>
        <w:jc w:val="both"/>
        <w:rPr>
          <w:lang w:val="en-TT"/>
        </w:rPr>
      </w:pPr>
      <w:r>
        <w:rPr>
          <w:lang w:val="en-TT"/>
        </w:rPr>
        <w:t xml:space="preserve">For further details, please contact: </w:t>
      </w:r>
      <w:r w:rsidR="00D35DA2">
        <w:rPr>
          <w:lang w:val="en-TT"/>
        </w:rPr>
        <w:t>Malika Khakimova khakimovam@who.int</w:t>
      </w:r>
      <w:r>
        <w:rPr>
          <w:lang w:val="en-TT"/>
        </w:rPr>
        <w:t xml:space="preserve"> </w:t>
      </w:r>
    </w:p>
    <w:p w14:paraId="1FEA2CE9" w14:textId="1C6EFA80" w:rsidR="00D3498F" w:rsidRDefault="00D3498F" w:rsidP="004B5F0F">
      <w:pPr>
        <w:rPr>
          <w:lang w:val="en-TT"/>
        </w:rPr>
      </w:pPr>
    </w:p>
    <w:p w14:paraId="75C9B517" w14:textId="77777777" w:rsidR="00D3498F" w:rsidRDefault="00D3498F" w:rsidP="00D3498F">
      <w:pPr>
        <w:spacing w:before="100" w:beforeAutospacing="1" w:after="100" w:afterAutospacing="1"/>
        <w:ind w:right="1134"/>
        <w:jc w:val="both"/>
        <w:rPr>
          <w:lang w:val="en-TT"/>
        </w:rPr>
      </w:pPr>
    </w:p>
    <w:tbl>
      <w:tblPr>
        <w:tblW w:w="9900" w:type="dxa"/>
        <w:tblBorders>
          <w:top w:val="single" w:sz="4" w:space="0" w:color="auto"/>
        </w:tblBorders>
        <w:tblLayout w:type="fixed"/>
        <w:tblLook w:val="01E0" w:firstRow="1" w:lastRow="1" w:firstColumn="1" w:lastColumn="1" w:noHBand="0" w:noVBand="0"/>
      </w:tblPr>
      <w:tblGrid>
        <w:gridCol w:w="2700"/>
        <w:gridCol w:w="3240"/>
        <w:gridCol w:w="3960"/>
      </w:tblGrid>
      <w:tr w:rsidR="00487F1B" w:rsidRPr="00486627" w14:paraId="0F90D315" w14:textId="77777777" w:rsidTr="00D3498F">
        <w:tc>
          <w:tcPr>
            <w:tcW w:w="2700" w:type="dxa"/>
          </w:tcPr>
          <w:p w14:paraId="56353A60" w14:textId="77777777" w:rsidR="00487F1B" w:rsidRPr="00DE3B36" w:rsidRDefault="00487F1B" w:rsidP="006228CC">
            <w:pPr>
              <w:jc w:val="both"/>
              <w:rPr>
                <w:sz w:val="16"/>
                <w:szCs w:val="16"/>
                <w:lang w:val="en-TT"/>
              </w:rPr>
            </w:pPr>
            <w:r w:rsidRPr="00DE3B36">
              <w:rPr>
                <w:sz w:val="16"/>
                <w:szCs w:val="16"/>
                <w:lang w:val="en-TT"/>
              </w:rPr>
              <w:t>A project implemented</w:t>
            </w:r>
          </w:p>
          <w:p w14:paraId="530D5B00" w14:textId="77777777" w:rsidR="00487F1B" w:rsidRDefault="00487F1B" w:rsidP="006D4190">
            <w:pPr>
              <w:ind w:right="65"/>
              <w:jc w:val="both"/>
              <w:rPr>
                <w:sz w:val="16"/>
                <w:szCs w:val="16"/>
                <w:lang w:val="en-TT"/>
              </w:rPr>
            </w:pPr>
          </w:p>
          <w:p w14:paraId="4268FEF1" w14:textId="77777777" w:rsidR="00487F1B" w:rsidRPr="00DE3B36" w:rsidRDefault="00487F1B" w:rsidP="00BA79FA">
            <w:pPr>
              <w:ind w:right="65"/>
              <w:jc w:val="both"/>
              <w:rPr>
                <w:lang w:val="en-TT"/>
              </w:rPr>
            </w:pPr>
          </w:p>
        </w:tc>
        <w:tc>
          <w:tcPr>
            <w:tcW w:w="3240" w:type="dxa"/>
          </w:tcPr>
          <w:p w14:paraId="51094BA0" w14:textId="7EC73D03" w:rsidR="00487F1B" w:rsidRPr="00DE3B36" w:rsidRDefault="00583449" w:rsidP="006D4190">
            <w:pPr>
              <w:ind w:left="1134" w:right="1134"/>
              <w:jc w:val="both"/>
              <w:rPr>
                <w:sz w:val="16"/>
                <w:szCs w:val="16"/>
                <w:lang w:val="en-TT"/>
              </w:rPr>
            </w:pPr>
            <w:r>
              <w:rPr>
                <w:noProof/>
              </w:rPr>
              <w:drawing>
                <wp:anchor distT="0" distB="0" distL="114300" distR="114300" simplePos="0" relativeHeight="251658241" behindDoc="0" locked="0" layoutInCell="1" allowOverlap="1" wp14:anchorId="18DAB209" wp14:editId="63DBB54D">
                  <wp:simplePos x="0" y="0"/>
                  <wp:positionH relativeFrom="column">
                    <wp:posOffset>106045</wp:posOffset>
                  </wp:positionH>
                  <wp:positionV relativeFrom="paragraph">
                    <wp:posOffset>75565</wp:posOffset>
                  </wp:positionV>
                  <wp:extent cx="622300" cy="414655"/>
                  <wp:effectExtent l="0" t="0" r="0" b="0"/>
                  <wp:wrapSquare wrapText="bothSides"/>
                  <wp:docPr id="13" name="Picture 1" descr="Y:\INFO-PRESS\EU symbols\EU logos - For projects\EU_normal-reproduction-low-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INFO-PRESS\EU symbols\EU logos - For projects\EU_normal-reproduction-low-resolu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300" cy="414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A71E6D" w14:textId="77777777" w:rsidR="0073706F" w:rsidRPr="001F5702" w:rsidRDefault="0073706F" w:rsidP="006D4190">
            <w:pPr>
              <w:tabs>
                <w:tab w:val="center" w:pos="1422"/>
              </w:tabs>
              <w:ind w:left="1134" w:right="72"/>
              <w:jc w:val="both"/>
              <w:rPr>
                <w:sz w:val="16"/>
                <w:szCs w:val="16"/>
              </w:rPr>
            </w:pPr>
            <w:r w:rsidRPr="001F5702">
              <w:rPr>
                <w:sz w:val="16"/>
                <w:szCs w:val="16"/>
              </w:rPr>
              <w:t>This project is funded</w:t>
            </w:r>
          </w:p>
          <w:p w14:paraId="62472B9D" w14:textId="77777777" w:rsidR="0073706F" w:rsidRPr="001F5702" w:rsidRDefault="0073706F" w:rsidP="006D4190">
            <w:pPr>
              <w:ind w:left="1134" w:right="72"/>
              <w:jc w:val="both"/>
              <w:rPr>
                <w:sz w:val="16"/>
                <w:szCs w:val="16"/>
              </w:rPr>
            </w:pPr>
            <w:r w:rsidRPr="001F5702">
              <w:rPr>
                <w:sz w:val="16"/>
                <w:szCs w:val="16"/>
              </w:rPr>
              <w:t>by the European Union</w:t>
            </w:r>
          </w:p>
          <w:p w14:paraId="5F611527" w14:textId="77777777" w:rsidR="0073706F" w:rsidRPr="001F5702" w:rsidRDefault="0073706F" w:rsidP="006D4190">
            <w:pPr>
              <w:ind w:left="1134" w:right="1134"/>
              <w:jc w:val="both"/>
              <w:rPr>
                <w:sz w:val="16"/>
                <w:szCs w:val="16"/>
              </w:rPr>
            </w:pPr>
          </w:p>
          <w:p w14:paraId="2A756152" w14:textId="77777777" w:rsidR="0073706F" w:rsidRPr="001F5702" w:rsidRDefault="0073706F" w:rsidP="006D4190">
            <w:pPr>
              <w:tabs>
                <w:tab w:val="left" w:pos="3499"/>
              </w:tabs>
              <w:ind w:left="79" w:right="72"/>
              <w:jc w:val="both"/>
              <w:rPr>
                <w:sz w:val="16"/>
                <w:szCs w:val="16"/>
              </w:rPr>
            </w:pPr>
            <w:r w:rsidRPr="001F5702">
              <w:rPr>
                <w:sz w:val="16"/>
                <w:szCs w:val="16"/>
              </w:rPr>
              <w:t>Delegation of the European Union</w:t>
            </w:r>
            <w:r w:rsidR="00F10492">
              <w:rPr>
                <w:sz w:val="16"/>
                <w:szCs w:val="16"/>
              </w:rPr>
              <w:t xml:space="preserve"> t</w:t>
            </w:r>
            <w:r w:rsidRPr="001F5702">
              <w:rPr>
                <w:sz w:val="16"/>
                <w:szCs w:val="16"/>
              </w:rPr>
              <w:t>o the Republic of Tajikistan</w:t>
            </w:r>
          </w:p>
          <w:p w14:paraId="74234CB2" w14:textId="77777777" w:rsidR="0073706F" w:rsidRPr="001F5702" w:rsidRDefault="0073706F" w:rsidP="006D4190">
            <w:pPr>
              <w:tabs>
                <w:tab w:val="left" w:pos="3499"/>
              </w:tabs>
              <w:ind w:left="79" w:right="72"/>
              <w:jc w:val="both"/>
              <w:rPr>
                <w:sz w:val="16"/>
                <w:szCs w:val="16"/>
              </w:rPr>
            </w:pPr>
          </w:p>
          <w:p w14:paraId="09423491" w14:textId="77777777" w:rsidR="0073706F" w:rsidRPr="001F5702" w:rsidRDefault="0073706F" w:rsidP="006D4190">
            <w:pPr>
              <w:tabs>
                <w:tab w:val="left" w:pos="3499"/>
              </w:tabs>
              <w:ind w:left="79" w:right="72"/>
              <w:jc w:val="both"/>
              <w:rPr>
                <w:sz w:val="16"/>
                <w:szCs w:val="16"/>
              </w:rPr>
            </w:pPr>
            <w:r w:rsidRPr="001F5702">
              <w:rPr>
                <w:sz w:val="16"/>
                <w:szCs w:val="16"/>
              </w:rPr>
              <w:t>74 Adhamov Street</w:t>
            </w:r>
          </w:p>
          <w:p w14:paraId="4BE7415E" w14:textId="77777777" w:rsidR="0073706F" w:rsidRPr="001F5702" w:rsidRDefault="0073706F" w:rsidP="006D4190">
            <w:pPr>
              <w:tabs>
                <w:tab w:val="left" w:pos="3499"/>
              </w:tabs>
              <w:ind w:left="79" w:right="72"/>
              <w:jc w:val="both"/>
              <w:rPr>
                <w:sz w:val="16"/>
                <w:szCs w:val="16"/>
              </w:rPr>
            </w:pPr>
            <w:r w:rsidRPr="001F5702">
              <w:rPr>
                <w:sz w:val="16"/>
                <w:szCs w:val="16"/>
              </w:rPr>
              <w:t>734013 Dushanbe, Republic of Tajikistan</w:t>
            </w:r>
          </w:p>
          <w:p w14:paraId="01C390D0" w14:textId="77777777" w:rsidR="0073706F" w:rsidRPr="001F5702" w:rsidRDefault="0073706F" w:rsidP="006D4190">
            <w:pPr>
              <w:tabs>
                <w:tab w:val="left" w:pos="3499"/>
              </w:tabs>
              <w:ind w:left="79" w:right="72"/>
              <w:jc w:val="both"/>
              <w:rPr>
                <w:sz w:val="16"/>
                <w:szCs w:val="16"/>
                <w:lang w:val="pt-PT"/>
              </w:rPr>
            </w:pPr>
            <w:r w:rsidRPr="001F5702">
              <w:rPr>
                <w:sz w:val="16"/>
                <w:szCs w:val="16"/>
                <w:lang w:val="pt-PT"/>
              </w:rPr>
              <w:t xml:space="preserve">Tel:  (+992 37) 221 74 07, 227 10 24 </w:t>
            </w:r>
          </w:p>
          <w:p w14:paraId="469730FC" w14:textId="77777777" w:rsidR="001F5702" w:rsidRPr="001F5702" w:rsidRDefault="00000000" w:rsidP="001F5702">
            <w:pPr>
              <w:tabs>
                <w:tab w:val="left" w:pos="3499"/>
              </w:tabs>
              <w:ind w:left="79" w:right="72"/>
              <w:jc w:val="both"/>
              <w:rPr>
                <w:sz w:val="16"/>
                <w:szCs w:val="16"/>
                <w:lang w:val="pt-PT"/>
              </w:rPr>
            </w:pPr>
            <w:hyperlink r:id="rId10" w:history="1">
              <w:r w:rsidR="0073706F" w:rsidRPr="001F5702">
                <w:rPr>
                  <w:rStyle w:val="Hyperlink"/>
                  <w:sz w:val="16"/>
                  <w:szCs w:val="16"/>
                  <w:lang w:val="pt-PT"/>
                </w:rPr>
                <w:t>Delegation-Tajikistan-Pic@eeas.europa.eu</w:t>
              </w:r>
            </w:hyperlink>
            <w:r w:rsidR="0073706F" w:rsidRPr="001F5702">
              <w:rPr>
                <w:sz w:val="16"/>
                <w:szCs w:val="16"/>
                <w:lang w:val="pt-PT"/>
              </w:rPr>
              <w:t xml:space="preserve">  </w:t>
            </w:r>
            <w:r w:rsidR="001F5702" w:rsidRPr="001F5702">
              <w:rPr>
                <w:sz w:val="16"/>
                <w:szCs w:val="16"/>
                <w:lang w:val="pt-PT"/>
              </w:rPr>
              <w:t xml:space="preserve"> </w:t>
            </w:r>
          </w:p>
          <w:p w14:paraId="313F20F2" w14:textId="63428726" w:rsidR="001F5702" w:rsidRPr="001F5702" w:rsidRDefault="00583449" w:rsidP="001F5702">
            <w:pPr>
              <w:rPr>
                <w:lang w:val="pt-PT" w:eastAsia="en-US" w:bidi="ar-JO"/>
              </w:rPr>
            </w:pPr>
            <w:r w:rsidRPr="003C52B8">
              <w:rPr>
                <w:noProof/>
              </w:rPr>
              <w:drawing>
                <wp:inline distT="0" distB="0" distL="0" distR="0" wp14:anchorId="18ECB600" wp14:editId="209A873A">
                  <wp:extent cx="293370" cy="293370"/>
                  <wp:effectExtent l="0" t="0" r="0" b="0"/>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r w:rsidR="001F5702" w:rsidRPr="001F5702">
              <w:rPr>
                <w:lang w:val="pt-PT"/>
              </w:rPr>
              <w:t xml:space="preserve">  </w:t>
            </w:r>
            <w:r>
              <w:rPr>
                <w:noProof/>
              </w:rPr>
              <w:drawing>
                <wp:inline distT="0" distB="0" distL="0" distR="0" wp14:anchorId="4C0ED05A" wp14:editId="42D77CFB">
                  <wp:extent cx="267335" cy="267335"/>
                  <wp:effectExtent l="0" t="0" r="0" b="0"/>
                  <wp:docPr id="2"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335" cy="267335"/>
                          </a:xfrm>
                          <a:prstGeom prst="rect">
                            <a:avLst/>
                          </a:prstGeom>
                          <a:noFill/>
                          <a:ln>
                            <a:noFill/>
                          </a:ln>
                        </pic:spPr>
                      </pic:pic>
                    </a:graphicData>
                  </a:graphic>
                </wp:inline>
              </w:drawing>
            </w:r>
            <w:r w:rsidR="001F5702" w:rsidRPr="001F5702">
              <w:rPr>
                <w:lang w:val="pt-PT"/>
              </w:rPr>
              <w:t xml:space="preserve"> </w:t>
            </w:r>
            <w:r>
              <w:rPr>
                <w:noProof/>
              </w:rPr>
              <w:drawing>
                <wp:inline distT="0" distB="0" distL="0" distR="0" wp14:anchorId="6F5BE8EE" wp14:editId="3C3B7C23">
                  <wp:extent cx="250190" cy="250190"/>
                  <wp:effectExtent l="0" t="0" r="0" b="0"/>
                  <wp:docPr id="3" name="Picture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a:ln>
                            <a:noFill/>
                          </a:ln>
                        </pic:spPr>
                      </pic:pic>
                    </a:graphicData>
                  </a:graphic>
                </wp:inline>
              </w:drawing>
            </w:r>
            <w:r w:rsidR="00E11672">
              <w:t xml:space="preserve"> </w:t>
            </w:r>
            <w:r w:rsidRPr="00C936D0">
              <w:rPr>
                <w:noProof/>
              </w:rPr>
              <w:drawing>
                <wp:inline distT="0" distB="0" distL="0" distR="0" wp14:anchorId="3403E34E" wp14:editId="48342F8A">
                  <wp:extent cx="276225" cy="276225"/>
                  <wp:effectExtent l="0" t="0" r="0" b="0"/>
                  <wp:docPr id="4" name="Picture 1" descr="Y:\INFO-PRESS\Website and Social Media\Delegation Social Media\Instagram\ig-logo-email.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INFO-PRESS\Website and Social Media\Delegation Social Media\Instagram\ig-logo-email.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5DDFB5E2" w14:textId="77777777" w:rsidR="00487F1B" w:rsidRPr="00C76637" w:rsidRDefault="00487F1B" w:rsidP="006D4190">
            <w:pPr>
              <w:tabs>
                <w:tab w:val="left" w:pos="2592"/>
                <w:tab w:val="left" w:pos="3499"/>
              </w:tabs>
              <w:ind w:left="79" w:right="72"/>
              <w:rPr>
                <w:sz w:val="16"/>
                <w:szCs w:val="16"/>
                <w:lang w:val="pt-PT"/>
              </w:rPr>
            </w:pPr>
          </w:p>
        </w:tc>
        <w:tc>
          <w:tcPr>
            <w:tcW w:w="3960" w:type="dxa"/>
          </w:tcPr>
          <w:p w14:paraId="6A51945D" w14:textId="77777777" w:rsidR="00486627" w:rsidRPr="006D4190" w:rsidRDefault="00486627" w:rsidP="006D4190">
            <w:pPr>
              <w:ind w:left="1134" w:right="1134"/>
              <w:jc w:val="both"/>
              <w:rPr>
                <w:sz w:val="16"/>
                <w:szCs w:val="16"/>
                <w:lang w:val="pt-PT"/>
              </w:rPr>
            </w:pPr>
          </w:p>
          <w:p w14:paraId="56B597E3" w14:textId="77777777" w:rsidR="00487F1B" w:rsidRPr="00537E5F" w:rsidRDefault="00486627" w:rsidP="00627411">
            <w:pPr>
              <w:tabs>
                <w:tab w:val="left" w:pos="2420"/>
              </w:tabs>
              <w:ind w:left="65" w:right="-33"/>
              <w:jc w:val="both"/>
              <w:rPr>
                <w:sz w:val="16"/>
                <w:szCs w:val="16"/>
              </w:rPr>
            </w:pPr>
            <w:r w:rsidRPr="00486627">
              <w:rPr>
                <w:sz w:val="16"/>
                <w:szCs w:val="16"/>
              </w:rPr>
              <w:t>The European Union is made up of 2</w:t>
            </w:r>
            <w:r w:rsidR="00627411">
              <w:rPr>
                <w:sz w:val="16"/>
                <w:szCs w:val="16"/>
              </w:rPr>
              <w:t>7</w:t>
            </w:r>
            <w:r w:rsidRPr="00486627">
              <w:rPr>
                <w:sz w:val="16"/>
                <w:szCs w:val="16"/>
              </w:rPr>
              <w:t xml:space="preserve"> Member States who have decided to gradually link together their know-how, resources and destinies. Together, during a period of enlargement</w:t>
            </w:r>
            <w:r w:rsidR="00653B93">
              <w:rPr>
                <w:sz w:val="16"/>
                <w:szCs w:val="16"/>
              </w:rPr>
              <w:t xml:space="preserve"> of 6</w:t>
            </w:r>
            <w:r w:rsidRPr="00486627">
              <w:rPr>
                <w:sz w:val="16"/>
                <w:szCs w:val="16"/>
              </w:rPr>
              <w:t>0 years, they have built a zone of stability, democracy and sustainable development whilst maintaining cultural diversity, tolerance and individual freedoms. The European Union is committed to sharing its achievements and its values with countries</w:t>
            </w:r>
            <w:r w:rsidR="005B7053">
              <w:rPr>
                <w:sz w:val="16"/>
                <w:szCs w:val="16"/>
              </w:rPr>
              <w:t xml:space="preserve"> and peoples beyond its borders</w:t>
            </w:r>
            <w:r w:rsidRPr="00486627">
              <w:rPr>
                <w:sz w:val="16"/>
                <w:szCs w:val="16"/>
              </w:rPr>
              <w:t>.</w:t>
            </w:r>
            <w:r w:rsidR="005B7053" w:rsidRPr="00537E5F">
              <w:rPr>
                <w:sz w:val="16"/>
                <w:szCs w:val="16"/>
              </w:rPr>
              <w:t xml:space="preserve"> </w:t>
            </w:r>
            <w:r w:rsidR="00502E09" w:rsidRPr="00502E09">
              <w:rPr>
                <w:sz w:val="16"/>
                <w:szCs w:val="16"/>
              </w:rPr>
              <w:t xml:space="preserve">To this end the EU is active in Tajikistan since 1992 </w:t>
            </w:r>
            <w:r w:rsidR="00FD2FA9">
              <w:rPr>
                <w:sz w:val="16"/>
                <w:szCs w:val="16"/>
              </w:rPr>
              <w:t xml:space="preserve">and provides approximately EUR </w:t>
            </w:r>
            <w:r w:rsidR="00FD2FA9" w:rsidRPr="00FD2FA9">
              <w:rPr>
                <w:sz w:val="16"/>
                <w:szCs w:val="16"/>
              </w:rPr>
              <w:t>3</w:t>
            </w:r>
            <w:r w:rsidR="00502E09" w:rsidRPr="00502E09">
              <w:rPr>
                <w:sz w:val="16"/>
                <w:szCs w:val="16"/>
              </w:rPr>
              <w:t>5 million</w:t>
            </w:r>
            <w:r w:rsidR="00502E09">
              <w:rPr>
                <w:sz w:val="16"/>
                <w:szCs w:val="16"/>
              </w:rPr>
              <w:t xml:space="preserve"> annually</w:t>
            </w:r>
            <w:r w:rsidR="00502E09" w:rsidRPr="00502E09">
              <w:rPr>
                <w:sz w:val="16"/>
                <w:szCs w:val="16"/>
              </w:rPr>
              <w:t xml:space="preserve"> in development assistance</w:t>
            </w:r>
            <w:r w:rsidR="00537E5F" w:rsidRPr="00537E5F">
              <w:rPr>
                <w:sz w:val="16"/>
                <w:szCs w:val="16"/>
              </w:rPr>
              <w:t xml:space="preserve">. </w:t>
            </w:r>
          </w:p>
        </w:tc>
      </w:tr>
    </w:tbl>
    <w:p w14:paraId="0DCADDDB" w14:textId="07A80175" w:rsidR="00FA0C00" w:rsidRPr="00486627" w:rsidRDefault="00FA0C00" w:rsidP="0089572F"/>
    <w:sectPr w:rsidR="00FA0C00" w:rsidRPr="00486627" w:rsidSect="00D3498F">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E6E0A"/>
    <w:multiLevelType w:val="hybridMultilevel"/>
    <w:tmpl w:val="7A660F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002F94"/>
    <w:multiLevelType w:val="hybridMultilevel"/>
    <w:tmpl w:val="9780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6D0DF2"/>
    <w:multiLevelType w:val="multilevel"/>
    <w:tmpl w:val="5670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051531"/>
    <w:multiLevelType w:val="multilevel"/>
    <w:tmpl w:val="7FEC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DE2E43"/>
    <w:multiLevelType w:val="multilevel"/>
    <w:tmpl w:val="E24E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0258711">
    <w:abstractNumId w:val="0"/>
  </w:num>
  <w:num w:numId="2" w16cid:durableId="155146702">
    <w:abstractNumId w:val="2"/>
  </w:num>
  <w:num w:numId="3" w16cid:durableId="1997604411">
    <w:abstractNumId w:val="3"/>
  </w:num>
  <w:num w:numId="4" w16cid:durableId="1999115608">
    <w:abstractNumId w:val="4"/>
  </w:num>
  <w:num w:numId="5" w16cid:durableId="1209151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487F1B"/>
    <w:rsid w:val="00000917"/>
    <w:rsid w:val="00001176"/>
    <w:rsid w:val="00001426"/>
    <w:rsid w:val="00003FC9"/>
    <w:rsid w:val="000044D7"/>
    <w:rsid w:val="000050A0"/>
    <w:rsid w:val="000056C2"/>
    <w:rsid w:val="00006CC3"/>
    <w:rsid w:val="0001236A"/>
    <w:rsid w:val="00012E07"/>
    <w:rsid w:val="00016445"/>
    <w:rsid w:val="0002014E"/>
    <w:rsid w:val="000205F3"/>
    <w:rsid w:val="0002142A"/>
    <w:rsid w:val="00021E98"/>
    <w:rsid w:val="00033D34"/>
    <w:rsid w:val="00034614"/>
    <w:rsid w:val="00040620"/>
    <w:rsid w:val="00040CCF"/>
    <w:rsid w:val="00043EBB"/>
    <w:rsid w:val="000458AB"/>
    <w:rsid w:val="00047618"/>
    <w:rsid w:val="00050900"/>
    <w:rsid w:val="00050F2F"/>
    <w:rsid w:val="00052882"/>
    <w:rsid w:val="00052895"/>
    <w:rsid w:val="00052BF6"/>
    <w:rsid w:val="000575E4"/>
    <w:rsid w:val="000600CC"/>
    <w:rsid w:val="0006046C"/>
    <w:rsid w:val="00060B85"/>
    <w:rsid w:val="0006532C"/>
    <w:rsid w:val="00067D34"/>
    <w:rsid w:val="00070EDC"/>
    <w:rsid w:val="00071C29"/>
    <w:rsid w:val="00071F45"/>
    <w:rsid w:val="0007697A"/>
    <w:rsid w:val="00076D37"/>
    <w:rsid w:val="00077046"/>
    <w:rsid w:val="000779AA"/>
    <w:rsid w:val="00077A3E"/>
    <w:rsid w:val="00082BBB"/>
    <w:rsid w:val="00084B41"/>
    <w:rsid w:val="00090A3F"/>
    <w:rsid w:val="00091CDA"/>
    <w:rsid w:val="0009258D"/>
    <w:rsid w:val="00092A7B"/>
    <w:rsid w:val="000931FC"/>
    <w:rsid w:val="000934C0"/>
    <w:rsid w:val="000A2A79"/>
    <w:rsid w:val="000A3F0C"/>
    <w:rsid w:val="000A6A86"/>
    <w:rsid w:val="000A7682"/>
    <w:rsid w:val="000B3F63"/>
    <w:rsid w:val="000B447B"/>
    <w:rsid w:val="000B4797"/>
    <w:rsid w:val="000B4F35"/>
    <w:rsid w:val="000C2314"/>
    <w:rsid w:val="000C32C1"/>
    <w:rsid w:val="000C5A37"/>
    <w:rsid w:val="000C64A5"/>
    <w:rsid w:val="000C79AA"/>
    <w:rsid w:val="000D09B3"/>
    <w:rsid w:val="000D1041"/>
    <w:rsid w:val="000D49C2"/>
    <w:rsid w:val="000D4DBB"/>
    <w:rsid w:val="000D5211"/>
    <w:rsid w:val="000D70B6"/>
    <w:rsid w:val="000E0C07"/>
    <w:rsid w:val="000E212E"/>
    <w:rsid w:val="000E3857"/>
    <w:rsid w:val="000E44AD"/>
    <w:rsid w:val="000E5FE5"/>
    <w:rsid w:val="000F0E5F"/>
    <w:rsid w:val="000F2B76"/>
    <w:rsid w:val="000F2DF3"/>
    <w:rsid w:val="000F3662"/>
    <w:rsid w:val="000F5052"/>
    <w:rsid w:val="00102141"/>
    <w:rsid w:val="00102ED9"/>
    <w:rsid w:val="001031DE"/>
    <w:rsid w:val="00103255"/>
    <w:rsid w:val="00105D34"/>
    <w:rsid w:val="00106195"/>
    <w:rsid w:val="00106962"/>
    <w:rsid w:val="00110D63"/>
    <w:rsid w:val="00110E0F"/>
    <w:rsid w:val="0011106D"/>
    <w:rsid w:val="0011181C"/>
    <w:rsid w:val="00111D2F"/>
    <w:rsid w:val="0011266D"/>
    <w:rsid w:val="001126A3"/>
    <w:rsid w:val="00112F3B"/>
    <w:rsid w:val="00113EC6"/>
    <w:rsid w:val="0011472D"/>
    <w:rsid w:val="00114792"/>
    <w:rsid w:val="001167F6"/>
    <w:rsid w:val="00117005"/>
    <w:rsid w:val="00121AC3"/>
    <w:rsid w:val="00122923"/>
    <w:rsid w:val="00124B91"/>
    <w:rsid w:val="0012781E"/>
    <w:rsid w:val="00130D62"/>
    <w:rsid w:val="0013155D"/>
    <w:rsid w:val="00134A7D"/>
    <w:rsid w:val="00134DD1"/>
    <w:rsid w:val="00135626"/>
    <w:rsid w:val="001357A0"/>
    <w:rsid w:val="00136C72"/>
    <w:rsid w:val="00140554"/>
    <w:rsid w:val="00140A2A"/>
    <w:rsid w:val="00141C75"/>
    <w:rsid w:val="00144292"/>
    <w:rsid w:val="00150A42"/>
    <w:rsid w:val="00152BFB"/>
    <w:rsid w:val="00152D1D"/>
    <w:rsid w:val="00154526"/>
    <w:rsid w:val="00154574"/>
    <w:rsid w:val="00154E22"/>
    <w:rsid w:val="0015715B"/>
    <w:rsid w:val="00161719"/>
    <w:rsid w:val="00161A80"/>
    <w:rsid w:val="001620DD"/>
    <w:rsid w:val="001631A3"/>
    <w:rsid w:val="001659A9"/>
    <w:rsid w:val="001670FA"/>
    <w:rsid w:val="001678F8"/>
    <w:rsid w:val="00167DF1"/>
    <w:rsid w:val="00171E7C"/>
    <w:rsid w:val="00172085"/>
    <w:rsid w:val="00174B18"/>
    <w:rsid w:val="001806F4"/>
    <w:rsid w:val="00180F7E"/>
    <w:rsid w:val="00181731"/>
    <w:rsid w:val="001818CF"/>
    <w:rsid w:val="00183722"/>
    <w:rsid w:val="0018619F"/>
    <w:rsid w:val="00187A2B"/>
    <w:rsid w:val="00190174"/>
    <w:rsid w:val="00191865"/>
    <w:rsid w:val="00191938"/>
    <w:rsid w:val="001923E2"/>
    <w:rsid w:val="001926F4"/>
    <w:rsid w:val="0019286C"/>
    <w:rsid w:val="00192DC9"/>
    <w:rsid w:val="0019489F"/>
    <w:rsid w:val="00194CED"/>
    <w:rsid w:val="00196155"/>
    <w:rsid w:val="00196A54"/>
    <w:rsid w:val="00197BD0"/>
    <w:rsid w:val="001A1084"/>
    <w:rsid w:val="001A42CC"/>
    <w:rsid w:val="001A45A0"/>
    <w:rsid w:val="001A64EF"/>
    <w:rsid w:val="001A69C2"/>
    <w:rsid w:val="001A78DA"/>
    <w:rsid w:val="001A79BC"/>
    <w:rsid w:val="001B0C5F"/>
    <w:rsid w:val="001B229C"/>
    <w:rsid w:val="001B39C3"/>
    <w:rsid w:val="001B3FD7"/>
    <w:rsid w:val="001B4194"/>
    <w:rsid w:val="001B59CA"/>
    <w:rsid w:val="001B5DB3"/>
    <w:rsid w:val="001B7053"/>
    <w:rsid w:val="001B74EF"/>
    <w:rsid w:val="001C0E21"/>
    <w:rsid w:val="001C18B3"/>
    <w:rsid w:val="001C5DF8"/>
    <w:rsid w:val="001C635F"/>
    <w:rsid w:val="001C77A6"/>
    <w:rsid w:val="001D113C"/>
    <w:rsid w:val="001D14AA"/>
    <w:rsid w:val="001D4EA4"/>
    <w:rsid w:val="001D6142"/>
    <w:rsid w:val="001D6194"/>
    <w:rsid w:val="001D683F"/>
    <w:rsid w:val="001E0520"/>
    <w:rsid w:val="001E1008"/>
    <w:rsid w:val="001E3771"/>
    <w:rsid w:val="001E3A8C"/>
    <w:rsid w:val="001E3C0C"/>
    <w:rsid w:val="001E6789"/>
    <w:rsid w:val="001E6B1E"/>
    <w:rsid w:val="001E6CA6"/>
    <w:rsid w:val="001F22FF"/>
    <w:rsid w:val="001F4575"/>
    <w:rsid w:val="001F4D9C"/>
    <w:rsid w:val="001F510D"/>
    <w:rsid w:val="001F5702"/>
    <w:rsid w:val="001F67C9"/>
    <w:rsid w:val="002010DE"/>
    <w:rsid w:val="00201C37"/>
    <w:rsid w:val="00202CDE"/>
    <w:rsid w:val="00203EE8"/>
    <w:rsid w:val="002071AB"/>
    <w:rsid w:val="00207726"/>
    <w:rsid w:val="00207C62"/>
    <w:rsid w:val="0021247E"/>
    <w:rsid w:val="002127A1"/>
    <w:rsid w:val="00215DB3"/>
    <w:rsid w:val="002169AF"/>
    <w:rsid w:val="002273AC"/>
    <w:rsid w:val="00227FA9"/>
    <w:rsid w:val="00233500"/>
    <w:rsid w:val="002339BA"/>
    <w:rsid w:val="0023697D"/>
    <w:rsid w:val="00236E04"/>
    <w:rsid w:val="00236E76"/>
    <w:rsid w:val="00240CF6"/>
    <w:rsid w:val="00240FE6"/>
    <w:rsid w:val="002416D6"/>
    <w:rsid w:val="00241F1C"/>
    <w:rsid w:val="0024418F"/>
    <w:rsid w:val="00244E67"/>
    <w:rsid w:val="00247D01"/>
    <w:rsid w:val="0025135C"/>
    <w:rsid w:val="0025326E"/>
    <w:rsid w:val="00253F10"/>
    <w:rsid w:val="00263628"/>
    <w:rsid w:val="0026428D"/>
    <w:rsid w:val="002648D0"/>
    <w:rsid w:val="00264C0C"/>
    <w:rsid w:val="0026523E"/>
    <w:rsid w:val="00271A71"/>
    <w:rsid w:val="0027357A"/>
    <w:rsid w:val="00273DCE"/>
    <w:rsid w:val="002756C9"/>
    <w:rsid w:val="00275F95"/>
    <w:rsid w:val="00286017"/>
    <w:rsid w:val="00292257"/>
    <w:rsid w:val="00292F27"/>
    <w:rsid w:val="00293583"/>
    <w:rsid w:val="00294B2D"/>
    <w:rsid w:val="00297BE1"/>
    <w:rsid w:val="002A26A9"/>
    <w:rsid w:val="002A2AD8"/>
    <w:rsid w:val="002A4E1C"/>
    <w:rsid w:val="002A70B0"/>
    <w:rsid w:val="002B2382"/>
    <w:rsid w:val="002B2C9B"/>
    <w:rsid w:val="002B4308"/>
    <w:rsid w:val="002B58D3"/>
    <w:rsid w:val="002C0FC9"/>
    <w:rsid w:val="002C2C7C"/>
    <w:rsid w:val="002C52A4"/>
    <w:rsid w:val="002C7AA1"/>
    <w:rsid w:val="002D1B3E"/>
    <w:rsid w:val="002D1E83"/>
    <w:rsid w:val="002D26F0"/>
    <w:rsid w:val="002D2C5A"/>
    <w:rsid w:val="002E0B4F"/>
    <w:rsid w:val="002E0ECC"/>
    <w:rsid w:val="002E2CF6"/>
    <w:rsid w:val="002E397B"/>
    <w:rsid w:val="002E39A4"/>
    <w:rsid w:val="002E64C6"/>
    <w:rsid w:val="002E7B23"/>
    <w:rsid w:val="002F2933"/>
    <w:rsid w:val="00300169"/>
    <w:rsid w:val="003008B6"/>
    <w:rsid w:val="00303CD6"/>
    <w:rsid w:val="00306DE0"/>
    <w:rsid w:val="00307FB3"/>
    <w:rsid w:val="00310285"/>
    <w:rsid w:val="00310A46"/>
    <w:rsid w:val="00313098"/>
    <w:rsid w:val="00315391"/>
    <w:rsid w:val="0031627B"/>
    <w:rsid w:val="0032048D"/>
    <w:rsid w:val="00321A95"/>
    <w:rsid w:val="003228BF"/>
    <w:rsid w:val="00322F0E"/>
    <w:rsid w:val="00324908"/>
    <w:rsid w:val="00325262"/>
    <w:rsid w:val="00331397"/>
    <w:rsid w:val="003313FE"/>
    <w:rsid w:val="0033144B"/>
    <w:rsid w:val="003316E9"/>
    <w:rsid w:val="00332BAC"/>
    <w:rsid w:val="00334E4D"/>
    <w:rsid w:val="003351E4"/>
    <w:rsid w:val="00335D67"/>
    <w:rsid w:val="0033789C"/>
    <w:rsid w:val="00341A27"/>
    <w:rsid w:val="00342A46"/>
    <w:rsid w:val="00343A0E"/>
    <w:rsid w:val="003501D4"/>
    <w:rsid w:val="0035106E"/>
    <w:rsid w:val="003512DD"/>
    <w:rsid w:val="00353FB5"/>
    <w:rsid w:val="0035441B"/>
    <w:rsid w:val="00356FB1"/>
    <w:rsid w:val="0036047F"/>
    <w:rsid w:val="00361F4B"/>
    <w:rsid w:val="00363612"/>
    <w:rsid w:val="0036365C"/>
    <w:rsid w:val="00365E34"/>
    <w:rsid w:val="00366AB7"/>
    <w:rsid w:val="00366DE0"/>
    <w:rsid w:val="00366FC3"/>
    <w:rsid w:val="003675C7"/>
    <w:rsid w:val="003676FA"/>
    <w:rsid w:val="00370511"/>
    <w:rsid w:val="003711F3"/>
    <w:rsid w:val="003718E8"/>
    <w:rsid w:val="00371F07"/>
    <w:rsid w:val="00373095"/>
    <w:rsid w:val="0037375A"/>
    <w:rsid w:val="00374DAD"/>
    <w:rsid w:val="00374E86"/>
    <w:rsid w:val="00375940"/>
    <w:rsid w:val="003769CC"/>
    <w:rsid w:val="00377010"/>
    <w:rsid w:val="003773B8"/>
    <w:rsid w:val="0038059D"/>
    <w:rsid w:val="0038070F"/>
    <w:rsid w:val="0038219F"/>
    <w:rsid w:val="00382BA3"/>
    <w:rsid w:val="00385FFC"/>
    <w:rsid w:val="003870BA"/>
    <w:rsid w:val="003922BC"/>
    <w:rsid w:val="00392E14"/>
    <w:rsid w:val="00393C9B"/>
    <w:rsid w:val="00396E17"/>
    <w:rsid w:val="003A013B"/>
    <w:rsid w:val="003A051D"/>
    <w:rsid w:val="003A1875"/>
    <w:rsid w:val="003A2A67"/>
    <w:rsid w:val="003A3082"/>
    <w:rsid w:val="003A597D"/>
    <w:rsid w:val="003A6E8E"/>
    <w:rsid w:val="003B3907"/>
    <w:rsid w:val="003B43B1"/>
    <w:rsid w:val="003B44BC"/>
    <w:rsid w:val="003B4579"/>
    <w:rsid w:val="003B4B2E"/>
    <w:rsid w:val="003B6AA8"/>
    <w:rsid w:val="003C07C0"/>
    <w:rsid w:val="003D25BD"/>
    <w:rsid w:val="003D4681"/>
    <w:rsid w:val="003D68FD"/>
    <w:rsid w:val="003E072D"/>
    <w:rsid w:val="003E094F"/>
    <w:rsid w:val="003E1B6C"/>
    <w:rsid w:val="003E2DCB"/>
    <w:rsid w:val="003E4BAB"/>
    <w:rsid w:val="003E4FB5"/>
    <w:rsid w:val="003F08E2"/>
    <w:rsid w:val="003F24B3"/>
    <w:rsid w:val="003F2832"/>
    <w:rsid w:val="003F2B0D"/>
    <w:rsid w:val="003F309B"/>
    <w:rsid w:val="003F34D1"/>
    <w:rsid w:val="003F5E59"/>
    <w:rsid w:val="003F62AA"/>
    <w:rsid w:val="003F7644"/>
    <w:rsid w:val="00400B5D"/>
    <w:rsid w:val="00401BBA"/>
    <w:rsid w:val="00401C45"/>
    <w:rsid w:val="004040E2"/>
    <w:rsid w:val="00405F16"/>
    <w:rsid w:val="00406FD3"/>
    <w:rsid w:val="0041007A"/>
    <w:rsid w:val="00410CF5"/>
    <w:rsid w:val="00411329"/>
    <w:rsid w:val="00413E3B"/>
    <w:rsid w:val="00415804"/>
    <w:rsid w:val="00420DC6"/>
    <w:rsid w:val="00421313"/>
    <w:rsid w:val="00421A3A"/>
    <w:rsid w:val="00422FA5"/>
    <w:rsid w:val="00423056"/>
    <w:rsid w:val="004231BC"/>
    <w:rsid w:val="004236CD"/>
    <w:rsid w:val="00424850"/>
    <w:rsid w:val="00425C5C"/>
    <w:rsid w:val="00426018"/>
    <w:rsid w:val="00426916"/>
    <w:rsid w:val="00426BDD"/>
    <w:rsid w:val="00427E79"/>
    <w:rsid w:val="004316BC"/>
    <w:rsid w:val="004357C9"/>
    <w:rsid w:val="0043589C"/>
    <w:rsid w:val="00437F05"/>
    <w:rsid w:val="00440E9F"/>
    <w:rsid w:val="0044129A"/>
    <w:rsid w:val="00441350"/>
    <w:rsid w:val="00443496"/>
    <w:rsid w:val="004438A8"/>
    <w:rsid w:val="00443A3E"/>
    <w:rsid w:val="00444D68"/>
    <w:rsid w:val="00445208"/>
    <w:rsid w:val="00446C28"/>
    <w:rsid w:val="00446E56"/>
    <w:rsid w:val="00447B62"/>
    <w:rsid w:val="004533F0"/>
    <w:rsid w:val="00455117"/>
    <w:rsid w:val="00455860"/>
    <w:rsid w:val="00457611"/>
    <w:rsid w:val="004577B8"/>
    <w:rsid w:val="00460C47"/>
    <w:rsid w:val="00461FDD"/>
    <w:rsid w:val="00464849"/>
    <w:rsid w:val="00465711"/>
    <w:rsid w:val="0046613B"/>
    <w:rsid w:val="00466D06"/>
    <w:rsid w:val="00470905"/>
    <w:rsid w:val="00471030"/>
    <w:rsid w:val="0047175F"/>
    <w:rsid w:val="00472082"/>
    <w:rsid w:val="00472FE6"/>
    <w:rsid w:val="00473918"/>
    <w:rsid w:val="0047419B"/>
    <w:rsid w:val="00474456"/>
    <w:rsid w:val="00474A91"/>
    <w:rsid w:val="00474D6E"/>
    <w:rsid w:val="00475D8F"/>
    <w:rsid w:val="004828DE"/>
    <w:rsid w:val="00484571"/>
    <w:rsid w:val="00484D8B"/>
    <w:rsid w:val="004853A1"/>
    <w:rsid w:val="0048561D"/>
    <w:rsid w:val="00486627"/>
    <w:rsid w:val="004866DE"/>
    <w:rsid w:val="00487F1B"/>
    <w:rsid w:val="00494069"/>
    <w:rsid w:val="00494A96"/>
    <w:rsid w:val="004A08B4"/>
    <w:rsid w:val="004A185D"/>
    <w:rsid w:val="004A2DB5"/>
    <w:rsid w:val="004A361F"/>
    <w:rsid w:val="004A3EB8"/>
    <w:rsid w:val="004A45C2"/>
    <w:rsid w:val="004A45DA"/>
    <w:rsid w:val="004A48B7"/>
    <w:rsid w:val="004A4BF2"/>
    <w:rsid w:val="004B027A"/>
    <w:rsid w:val="004B1F01"/>
    <w:rsid w:val="004B3AA5"/>
    <w:rsid w:val="004B3FFC"/>
    <w:rsid w:val="004B4363"/>
    <w:rsid w:val="004B49C2"/>
    <w:rsid w:val="004B5F0F"/>
    <w:rsid w:val="004B740C"/>
    <w:rsid w:val="004B77C0"/>
    <w:rsid w:val="004C1B05"/>
    <w:rsid w:val="004C2A5E"/>
    <w:rsid w:val="004C52AD"/>
    <w:rsid w:val="004C61C7"/>
    <w:rsid w:val="004C7B6E"/>
    <w:rsid w:val="004D0415"/>
    <w:rsid w:val="004D08EC"/>
    <w:rsid w:val="004D27D7"/>
    <w:rsid w:val="004D5821"/>
    <w:rsid w:val="004E0A91"/>
    <w:rsid w:val="004E1EA4"/>
    <w:rsid w:val="004E2AA1"/>
    <w:rsid w:val="004E2BED"/>
    <w:rsid w:val="004F020D"/>
    <w:rsid w:val="004F02EA"/>
    <w:rsid w:val="004F5088"/>
    <w:rsid w:val="004F5620"/>
    <w:rsid w:val="004F5F6D"/>
    <w:rsid w:val="00502E09"/>
    <w:rsid w:val="00503D59"/>
    <w:rsid w:val="00505455"/>
    <w:rsid w:val="00507CF2"/>
    <w:rsid w:val="00510398"/>
    <w:rsid w:val="00512118"/>
    <w:rsid w:val="00512216"/>
    <w:rsid w:val="005148E9"/>
    <w:rsid w:val="005154FD"/>
    <w:rsid w:val="00523968"/>
    <w:rsid w:val="00524F8C"/>
    <w:rsid w:val="00525ED5"/>
    <w:rsid w:val="005266FB"/>
    <w:rsid w:val="00531895"/>
    <w:rsid w:val="00532599"/>
    <w:rsid w:val="00533D53"/>
    <w:rsid w:val="005347A6"/>
    <w:rsid w:val="00537E5F"/>
    <w:rsid w:val="00542B7D"/>
    <w:rsid w:val="00543BD7"/>
    <w:rsid w:val="00546BCC"/>
    <w:rsid w:val="00546D14"/>
    <w:rsid w:val="00547F78"/>
    <w:rsid w:val="0055547B"/>
    <w:rsid w:val="00555DC1"/>
    <w:rsid w:val="005574EA"/>
    <w:rsid w:val="005601B0"/>
    <w:rsid w:val="00561EA8"/>
    <w:rsid w:val="00562283"/>
    <w:rsid w:val="00562DE9"/>
    <w:rsid w:val="00563989"/>
    <w:rsid w:val="0056664E"/>
    <w:rsid w:val="00566B7C"/>
    <w:rsid w:val="00566D90"/>
    <w:rsid w:val="005670DC"/>
    <w:rsid w:val="00567BDB"/>
    <w:rsid w:val="0057075F"/>
    <w:rsid w:val="00570A1C"/>
    <w:rsid w:val="00572E03"/>
    <w:rsid w:val="0057616E"/>
    <w:rsid w:val="005777E1"/>
    <w:rsid w:val="00577F47"/>
    <w:rsid w:val="00581D37"/>
    <w:rsid w:val="00582F80"/>
    <w:rsid w:val="00583449"/>
    <w:rsid w:val="00583F0C"/>
    <w:rsid w:val="00586000"/>
    <w:rsid w:val="00593536"/>
    <w:rsid w:val="005953B4"/>
    <w:rsid w:val="00596E52"/>
    <w:rsid w:val="00597BDE"/>
    <w:rsid w:val="005A060F"/>
    <w:rsid w:val="005A12D4"/>
    <w:rsid w:val="005B2480"/>
    <w:rsid w:val="005B25B8"/>
    <w:rsid w:val="005B6A83"/>
    <w:rsid w:val="005B7053"/>
    <w:rsid w:val="005B7941"/>
    <w:rsid w:val="005C076D"/>
    <w:rsid w:val="005C1162"/>
    <w:rsid w:val="005C319F"/>
    <w:rsid w:val="005C323C"/>
    <w:rsid w:val="005C32D3"/>
    <w:rsid w:val="005C346E"/>
    <w:rsid w:val="005C3874"/>
    <w:rsid w:val="005C3B0E"/>
    <w:rsid w:val="005C428B"/>
    <w:rsid w:val="005C5E40"/>
    <w:rsid w:val="005C5FEC"/>
    <w:rsid w:val="005D0CB6"/>
    <w:rsid w:val="005D0F82"/>
    <w:rsid w:val="005D2659"/>
    <w:rsid w:val="005D5540"/>
    <w:rsid w:val="005D5FF8"/>
    <w:rsid w:val="005D646D"/>
    <w:rsid w:val="005E1F97"/>
    <w:rsid w:val="005E3483"/>
    <w:rsid w:val="005E47B5"/>
    <w:rsid w:val="005E4921"/>
    <w:rsid w:val="005E5D12"/>
    <w:rsid w:val="005E7CF7"/>
    <w:rsid w:val="005F21AB"/>
    <w:rsid w:val="005F23AD"/>
    <w:rsid w:val="005F6E56"/>
    <w:rsid w:val="005F7D21"/>
    <w:rsid w:val="00603381"/>
    <w:rsid w:val="00603DBB"/>
    <w:rsid w:val="0060499C"/>
    <w:rsid w:val="0060571B"/>
    <w:rsid w:val="00605986"/>
    <w:rsid w:val="00605ADE"/>
    <w:rsid w:val="0060671B"/>
    <w:rsid w:val="006074B5"/>
    <w:rsid w:val="00607852"/>
    <w:rsid w:val="00607CE7"/>
    <w:rsid w:val="00610AD7"/>
    <w:rsid w:val="006112C9"/>
    <w:rsid w:val="00613E59"/>
    <w:rsid w:val="0061425A"/>
    <w:rsid w:val="006228CC"/>
    <w:rsid w:val="00623366"/>
    <w:rsid w:val="00627411"/>
    <w:rsid w:val="00630133"/>
    <w:rsid w:val="006311BD"/>
    <w:rsid w:val="0063155E"/>
    <w:rsid w:val="0063168A"/>
    <w:rsid w:val="00631A87"/>
    <w:rsid w:val="00634435"/>
    <w:rsid w:val="006347D3"/>
    <w:rsid w:val="00636458"/>
    <w:rsid w:val="00636781"/>
    <w:rsid w:val="00636D99"/>
    <w:rsid w:val="00642B60"/>
    <w:rsid w:val="0064372F"/>
    <w:rsid w:val="00646241"/>
    <w:rsid w:val="00646AF2"/>
    <w:rsid w:val="00646F27"/>
    <w:rsid w:val="00653B93"/>
    <w:rsid w:val="00653BD6"/>
    <w:rsid w:val="00653E93"/>
    <w:rsid w:val="00661448"/>
    <w:rsid w:val="006620EF"/>
    <w:rsid w:val="00665688"/>
    <w:rsid w:val="00665C9B"/>
    <w:rsid w:val="00666CD9"/>
    <w:rsid w:val="006700FB"/>
    <w:rsid w:val="00670B3B"/>
    <w:rsid w:val="006722F7"/>
    <w:rsid w:val="006724A7"/>
    <w:rsid w:val="0067324C"/>
    <w:rsid w:val="006734E7"/>
    <w:rsid w:val="006743EA"/>
    <w:rsid w:val="00675530"/>
    <w:rsid w:val="00675666"/>
    <w:rsid w:val="00675AD6"/>
    <w:rsid w:val="00675C72"/>
    <w:rsid w:val="0067749F"/>
    <w:rsid w:val="00677BEA"/>
    <w:rsid w:val="00677F85"/>
    <w:rsid w:val="00681AA0"/>
    <w:rsid w:val="00681CE1"/>
    <w:rsid w:val="006921D2"/>
    <w:rsid w:val="00693658"/>
    <w:rsid w:val="00693B6C"/>
    <w:rsid w:val="0069598F"/>
    <w:rsid w:val="00696D18"/>
    <w:rsid w:val="006A1D04"/>
    <w:rsid w:val="006A412C"/>
    <w:rsid w:val="006A4DD6"/>
    <w:rsid w:val="006B040F"/>
    <w:rsid w:val="006B08B2"/>
    <w:rsid w:val="006B0AD4"/>
    <w:rsid w:val="006B19E5"/>
    <w:rsid w:val="006B2E23"/>
    <w:rsid w:val="006B36A9"/>
    <w:rsid w:val="006B414F"/>
    <w:rsid w:val="006B4156"/>
    <w:rsid w:val="006B765D"/>
    <w:rsid w:val="006C032F"/>
    <w:rsid w:val="006C0B53"/>
    <w:rsid w:val="006C2741"/>
    <w:rsid w:val="006C2EC4"/>
    <w:rsid w:val="006C6874"/>
    <w:rsid w:val="006D1F46"/>
    <w:rsid w:val="006D2E2E"/>
    <w:rsid w:val="006D4190"/>
    <w:rsid w:val="006D599A"/>
    <w:rsid w:val="006D7046"/>
    <w:rsid w:val="006E11CA"/>
    <w:rsid w:val="006E154C"/>
    <w:rsid w:val="006E2F1B"/>
    <w:rsid w:val="006E35D0"/>
    <w:rsid w:val="006E426A"/>
    <w:rsid w:val="006E4E8E"/>
    <w:rsid w:val="006E50F0"/>
    <w:rsid w:val="006E678A"/>
    <w:rsid w:val="006E6820"/>
    <w:rsid w:val="006E6FC5"/>
    <w:rsid w:val="006F0CA9"/>
    <w:rsid w:val="006F4167"/>
    <w:rsid w:val="006F4F83"/>
    <w:rsid w:val="006F5A89"/>
    <w:rsid w:val="006F6D4B"/>
    <w:rsid w:val="006F6DEA"/>
    <w:rsid w:val="006F6FAF"/>
    <w:rsid w:val="0070036B"/>
    <w:rsid w:val="007009CB"/>
    <w:rsid w:val="00703529"/>
    <w:rsid w:val="0070408E"/>
    <w:rsid w:val="00704654"/>
    <w:rsid w:val="00704C72"/>
    <w:rsid w:val="00704E77"/>
    <w:rsid w:val="0070502D"/>
    <w:rsid w:val="00706206"/>
    <w:rsid w:val="0070687C"/>
    <w:rsid w:val="00706DC6"/>
    <w:rsid w:val="00707683"/>
    <w:rsid w:val="00707D10"/>
    <w:rsid w:val="00720664"/>
    <w:rsid w:val="00724EE5"/>
    <w:rsid w:val="007263AA"/>
    <w:rsid w:val="00726B51"/>
    <w:rsid w:val="00726B58"/>
    <w:rsid w:val="00727061"/>
    <w:rsid w:val="00727B9A"/>
    <w:rsid w:val="0073101F"/>
    <w:rsid w:val="007338CE"/>
    <w:rsid w:val="00734BD3"/>
    <w:rsid w:val="00735CAF"/>
    <w:rsid w:val="00735D36"/>
    <w:rsid w:val="00736D4A"/>
    <w:rsid w:val="0073706F"/>
    <w:rsid w:val="00737856"/>
    <w:rsid w:val="00737F02"/>
    <w:rsid w:val="007404A8"/>
    <w:rsid w:val="00741C23"/>
    <w:rsid w:val="00744AE6"/>
    <w:rsid w:val="00746FC7"/>
    <w:rsid w:val="00747BE0"/>
    <w:rsid w:val="007501FF"/>
    <w:rsid w:val="007523E2"/>
    <w:rsid w:val="00755DFE"/>
    <w:rsid w:val="00756E99"/>
    <w:rsid w:val="007614E5"/>
    <w:rsid w:val="007616DA"/>
    <w:rsid w:val="0076288E"/>
    <w:rsid w:val="00762EAA"/>
    <w:rsid w:val="007652E4"/>
    <w:rsid w:val="007658C1"/>
    <w:rsid w:val="0076635A"/>
    <w:rsid w:val="007703FD"/>
    <w:rsid w:val="00770C07"/>
    <w:rsid w:val="00772E46"/>
    <w:rsid w:val="00774B27"/>
    <w:rsid w:val="007769C1"/>
    <w:rsid w:val="00776DA6"/>
    <w:rsid w:val="00777267"/>
    <w:rsid w:val="00777B7D"/>
    <w:rsid w:val="0078087D"/>
    <w:rsid w:val="00780B08"/>
    <w:rsid w:val="0078233C"/>
    <w:rsid w:val="0078349C"/>
    <w:rsid w:val="007840E8"/>
    <w:rsid w:val="00786C29"/>
    <w:rsid w:val="0078766E"/>
    <w:rsid w:val="00790373"/>
    <w:rsid w:val="00790BB6"/>
    <w:rsid w:val="0079243C"/>
    <w:rsid w:val="007939CB"/>
    <w:rsid w:val="007A145C"/>
    <w:rsid w:val="007A2427"/>
    <w:rsid w:val="007A4BD1"/>
    <w:rsid w:val="007A60F9"/>
    <w:rsid w:val="007B1257"/>
    <w:rsid w:val="007B2636"/>
    <w:rsid w:val="007B2C3A"/>
    <w:rsid w:val="007B30F2"/>
    <w:rsid w:val="007B4A1A"/>
    <w:rsid w:val="007B65EF"/>
    <w:rsid w:val="007B6D44"/>
    <w:rsid w:val="007C04A3"/>
    <w:rsid w:val="007C215C"/>
    <w:rsid w:val="007C2AEB"/>
    <w:rsid w:val="007C3135"/>
    <w:rsid w:val="007C55D4"/>
    <w:rsid w:val="007C5D60"/>
    <w:rsid w:val="007C6168"/>
    <w:rsid w:val="007C74A7"/>
    <w:rsid w:val="007C75C1"/>
    <w:rsid w:val="007D2280"/>
    <w:rsid w:val="007D4242"/>
    <w:rsid w:val="007D4885"/>
    <w:rsid w:val="007D6551"/>
    <w:rsid w:val="007D7D17"/>
    <w:rsid w:val="007E06E3"/>
    <w:rsid w:val="007E0EA2"/>
    <w:rsid w:val="007E1549"/>
    <w:rsid w:val="007E37A9"/>
    <w:rsid w:val="007E430F"/>
    <w:rsid w:val="007E436D"/>
    <w:rsid w:val="007E4644"/>
    <w:rsid w:val="007E5605"/>
    <w:rsid w:val="007E66EF"/>
    <w:rsid w:val="007F1C46"/>
    <w:rsid w:val="007F49E3"/>
    <w:rsid w:val="00800DD6"/>
    <w:rsid w:val="00801192"/>
    <w:rsid w:val="00802D07"/>
    <w:rsid w:val="00803C24"/>
    <w:rsid w:val="008073B2"/>
    <w:rsid w:val="008075A9"/>
    <w:rsid w:val="00810EDC"/>
    <w:rsid w:val="00810F25"/>
    <w:rsid w:val="00813DFD"/>
    <w:rsid w:val="008142FA"/>
    <w:rsid w:val="00814366"/>
    <w:rsid w:val="00816104"/>
    <w:rsid w:val="00816ADB"/>
    <w:rsid w:val="008177F6"/>
    <w:rsid w:val="00824955"/>
    <w:rsid w:val="008255EE"/>
    <w:rsid w:val="00827077"/>
    <w:rsid w:val="00831F1F"/>
    <w:rsid w:val="0083414F"/>
    <w:rsid w:val="00834E95"/>
    <w:rsid w:val="00841E7D"/>
    <w:rsid w:val="00841EF6"/>
    <w:rsid w:val="008444CE"/>
    <w:rsid w:val="00845867"/>
    <w:rsid w:val="0084599C"/>
    <w:rsid w:val="00847861"/>
    <w:rsid w:val="00850B79"/>
    <w:rsid w:val="008524E9"/>
    <w:rsid w:val="00853125"/>
    <w:rsid w:val="00853709"/>
    <w:rsid w:val="00854448"/>
    <w:rsid w:val="00856B6E"/>
    <w:rsid w:val="0085777B"/>
    <w:rsid w:val="00860920"/>
    <w:rsid w:val="0086155E"/>
    <w:rsid w:val="0086171D"/>
    <w:rsid w:val="008669B7"/>
    <w:rsid w:val="00866C84"/>
    <w:rsid w:val="00866E48"/>
    <w:rsid w:val="008677E2"/>
    <w:rsid w:val="0087066E"/>
    <w:rsid w:val="00870979"/>
    <w:rsid w:val="0087302D"/>
    <w:rsid w:val="00883398"/>
    <w:rsid w:val="00885359"/>
    <w:rsid w:val="00886B53"/>
    <w:rsid w:val="00891CD0"/>
    <w:rsid w:val="008941CF"/>
    <w:rsid w:val="008951E2"/>
    <w:rsid w:val="0089572F"/>
    <w:rsid w:val="00895800"/>
    <w:rsid w:val="00895A69"/>
    <w:rsid w:val="00896D99"/>
    <w:rsid w:val="008A0DC1"/>
    <w:rsid w:val="008A2690"/>
    <w:rsid w:val="008A60E9"/>
    <w:rsid w:val="008A7798"/>
    <w:rsid w:val="008A7BED"/>
    <w:rsid w:val="008B0D01"/>
    <w:rsid w:val="008B1463"/>
    <w:rsid w:val="008B3E95"/>
    <w:rsid w:val="008B428A"/>
    <w:rsid w:val="008B676C"/>
    <w:rsid w:val="008C0C99"/>
    <w:rsid w:val="008C16BE"/>
    <w:rsid w:val="008C321D"/>
    <w:rsid w:val="008C4428"/>
    <w:rsid w:val="008C4C63"/>
    <w:rsid w:val="008C7130"/>
    <w:rsid w:val="008C79C3"/>
    <w:rsid w:val="008D0843"/>
    <w:rsid w:val="008D2880"/>
    <w:rsid w:val="008D2AC5"/>
    <w:rsid w:val="008D4A61"/>
    <w:rsid w:val="008D5D25"/>
    <w:rsid w:val="008D622C"/>
    <w:rsid w:val="008E40EE"/>
    <w:rsid w:val="008E46BF"/>
    <w:rsid w:val="008E5507"/>
    <w:rsid w:val="008E5FFC"/>
    <w:rsid w:val="008F00B8"/>
    <w:rsid w:val="008F1F15"/>
    <w:rsid w:val="008F1FBB"/>
    <w:rsid w:val="008F28AB"/>
    <w:rsid w:val="008F2A7D"/>
    <w:rsid w:val="008F42F2"/>
    <w:rsid w:val="008F6205"/>
    <w:rsid w:val="008F6CEF"/>
    <w:rsid w:val="008F6D56"/>
    <w:rsid w:val="00901098"/>
    <w:rsid w:val="00901B90"/>
    <w:rsid w:val="0090305E"/>
    <w:rsid w:val="00903660"/>
    <w:rsid w:val="00906115"/>
    <w:rsid w:val="00906B05"/>
    <w:rsid w:val="00907210"/>
    <w:rsid w:val="0090726C"/>
    <w:rsid w:val="00910734"/>
    <w:rsid w:val="00912FD2"/>
    <w:rsid w:val="009135D6"/>
    <w:rsid w:val="00914BDB"/>
    <w:rsid w:val="0092097F"/>
    <w:rsid w:val="00922E06"/>
    <w:rsid w:val="009230F7"/>
    <w:rsid w:val="00925ECF"/>
    <w:rsid w:val="00926869"/>
    <w:rsid w:val="00927BAE"/>
    <w:rsid w:val="00930F53"/>
    <w:rsid w:val="00930FD4"/>
    <w:rsid w:val="009334C6"/>
    <w:rsid w:val="009353C0"/>
    <w:rsid w:val="00935DCE"/>
    <w:rsid w:val="00937136"/>
    <w:rsid w:val="00937560"/>
    <w:rsid w:val="009409EF"/>
    <w:rsid w:val="0094106F"/>
    <w:rsid w:val="009416A9"/>
    <w:rsid w:val="00941E98"/>
    <w:rsid w:val="00942565"/>
    <w:rsid w:val="00942572"/>
    <w:rsid w:val="00944246"/>
    <w:rsid w:val="0094438C"/>
    <w:rsid w:val="00945DAF"/>
    <w:rsid w:val="009466D2"/>
    <w:rsid w:val="00947619"/>
    <w:rsid w:val="00950D12"/>
    <w:rsid w:val="00951690"/>
    <w:rsid w:val="00951EE3"/>
    <w:rsid w:val="009526C2"/>
    <w:rsid w:val="00952D3E"/>
    <w:rsid w:val="00954096"/>
    <w:rsid w:val="00955295"/>
    <w:rsid w:val="00960616"/>
    <w:rsid w:val="00960C64"/>
    <w:rsid w:val="0096187A"/>
    <w:rsid w:val="00962595"/>
    <w:rsid w:val="009658D7"/>
    <w:rsid w:val="009660FA"/>
    <w:rsid w:val="00966934"/>
    <w:rsid w:val="00970136"/>
    <w:rsid w:val="009704B1"/>
    <w:rsid w:val="00970540"/>
    <w:rsid w:val="009763BF"/>
    <w:rsid w:val="00976D68"/>
    <w:rsid w:val="0097737F"/>
    <w:rsid w:val="0098041F"/>
    <w:rsid w:val="00987ECC"/>
    <w:rsid w:val="009931F2"/>
    <w:rsid w:val="00993604"/>
    <w:rsid w:val="0099416F"/>
    <w:rsid w:val="00994208"/>
    <w:rsid w:val="009949A7"/>
    <w:rsid w:val="00994BC5"/>
    <w:rsid w:val="009950C0"/>
    <w:rsid w:val="00996C51"/>
    <w:rsid w:val="00997DAB"/>
    <w:rsid w:val="009A0D12"/>
    <w:rsid w:val="009A35C3"/>
    <w:rsid w:val="009A667D"/>
    <w:rsid w:val="009A6B35"/>
    <w:rsid w:val="009B2F1C"/>
    <w:rsid w:val="009B4803"/>
    <w:rsid w:val="009B763D"/>
    <w:rsid w:val="009B7F87"/>
    <w:rsid w:val="009C14E0"/>
    <w:rsid w:val="009C1CAB"/>
    <w:rsid w:val="009C2142"/>
    <w:rsid w:val="009C49A0"/>
    <w:rsid w:val="009C49BA"/>
    <w:rsid w:val="009C4E32"/>
    <w:rsid w:val="009C54CA"/>
    <w:rsid w:val="009C5BBA"/>
    <w:rsid w:val="009C5F47"/>
    <w:rsid w:val="009D0997"/>
    <w:rsid w:val="009D1533"/>
    <w:rsid w:val="009E0F52"/>
    <w:rsid w:val="009E41F3"/>
    <w:rsid w:val="009E457F"/>
    <w:rsid w:val="009E4B9A"/>
    <w:rsid w:val="009E5931"/>
    <w:rsid w:val="009E67DE"/>
    <w:rsid w:val="009F0E91"/>
    <w:rsid w:val="009F1A2F"/>
    <w:rsid w:val="009F4926"/>
    <w:rsid w:val="009F503D"/>
    <w:rsid w:val="009F5E61"/>
    <w:rsid w:val="009F699E"/>
    <w:rsid w:val="00A00DC3"/>
    <w:rsid w:val="00A0488D"/>
    <w:rsid w:val="00A06717"/>
    <w:rsid w:val="00A10960"/>
    <w:rsid w:val="00A1130E"/>
    <w:rsid w:val="00A116DC"/>
    <w:rsid w:val="00A125E5"/>
    <w:rsid w:val="00A15133"/>
    <w:rsid w:val="00A2085F"/>
    <w:rsid w:val="00A2116C"/>
    <w:rsid w:val="00A229F9"/>
    <w:rsid w:val="00A22BBA"/>
    <w:rsid w:val="00A22C41"/>
    <w:rsid w:val="00A26C97"/>
    <w:rsid w:val="00A272A3"/>
    <w:rsid w:val="00A310B8"/>
    <w:rsid w:val="00A319E3"/>
    <w:rsid w:val="00A32B13"/>
    <w:rsid w:val="00A32C11"/>
    <w:rsid w:val="00A32C26"/>
    <w:rsid w:val="00A333B0"/>
    <w:rsid w:val="00A34633"/>
    <w:rsid w:val="00A35187"/>
    <w:rsid w:val="00A413AA"/>
    <w:rsid w:val="00A42459"/>
    <w:rsid w:val="00A440C7"/>
    <w:rsid w:val="00A44915"/>
    <w:rsid w:val="00A460F9"/>
    <w:rsid w:val="00A511BF"/>
    <w:rsid w:val="00A51E26"/>
    <w:rsid w:val="00A52998"/>
    <w:rsid w:val="00A52D2C"/>
    <w:rsid w:val="00A56C29"/>
    <w:rsid w:val="00A65E37"/>
    <w:rsid w:val="00A66139"/>
    <w:rsid w:val="00A7018B"/>
    <w:rsid w:val="00A73463"/>
    <w:rsid w:val="00A737AE"/>
    <w:rsid w:val="00A73BAA"/>
    <w:rsid w:val="00A7599F"/>
    <w:rsid w:val="00A76ED6"/>
    <w:rsid w:val="00A77863"/>
    <w:rsid w:val="00A80E86"/>
    <w:rsid w:val="00A8354C"/>
    <w:rsid w:val="00A87934"/>
    <w:rsid w:val="00A87D11"/>
    <w:rsid w:val="00A87D74"/>
    <w:rsid w:val="00A93A71"/>
    <w:rsid w:val="00AA1130"/>
    <w:rsid w:val="00AA220D"/>
    <w:rsid w:val="00AA630A"/>
    <w:rsid w:val="00AA668A"/>
    <w:rsid w:val="00AA6C21"/>
    <w:rsid w:val="00AB126D"/>
    <w:rsid w:val="00AB34EF"/>
    <w:rsid w:val="00AB3D30"/>
    <w:rsid w:val="00AB402C"/>
    <w:rsid w:val="00AC074F"/>
    <w:rsid w:val="00AC188B"/>
    <w:rsid w:val="00AC21AC"/>
    <w:rsid w:val="00AC2ABF"/>
    <w:rsid w:val="00AC3FBC"/>
    <w:rsid w:val="00AC4623"/>
    <w:rsid w:val="00AC5F55"/>
    <w:rsid w:val="00AC70C9"/>
    <w:rsid w:val="00AC7A53"/>
    <w:rsid w:val="00AD0599"/>
    <w:rsid w:val="00AD2EDB"/>
    <w:rsid w:val="00AD4262"/>
    <w:rsid w:val="00AD678E"/>
    <w:rsid w:val="00AD7C22"/>
    <w:rsid w:val="00AE3E4E"/>
    <w:rsid w:val="00AE6649"/>
    <w:rsid w:val="00AE7132"/>
    <w:rsid w:val="00AE7D66"/>
    <w:rsid w:val="00AF320F"/>
    <w:rsid w:val="00AF3850"/>
    <w:rsid w:val="00AF4220"/>
    <w:rsid w:val="00AF50E3"/>
    <w:rsid w:val="00AF670B"/>
    <w:rsid w:val="00AF6DAB"/>
    <w:rsid w:val="00B00A8B"/>
    <w:rsid w:val="00B00CFE"/>
    <w:rsid w:val="00B04D65"/>
    <w:rsid w:val="00B07696"/>
    <w:rsid w:val="00B12EE5"/>
    <w:rsid w:val="00B141E8"/>
    <w:rsid w:val="00B15D39"/>
    <w:rsid w:val="00B15E4E"/>
    <w:rsid w:val="00B15FE3"/>
    <w:rsid w:val="00B17AF2"/>
    <w:rsid w:val="00B21023"/>
    <w:rsid w:val="00B22120"/>
    <w:rsid w:val="00B22A25"/>
    <w:rsid w:val="00B25825"/>
    <w:rsid w:val="00B26425"/>
    <w:rsid w:val="00B30923"/>
    <w:rsid w:val="00B30FE6"/>
    <w:rsid w:val="00B31121"/>
    <w:rsid w:val="00B37705"/>
    <w:rsid w:val="00B40503"/>
    <w:rsid w:val="00B40E8C"/>
    <w:rsid w:val="00B42126"/>
    <w:rsid w:val="00B428DD"/>
    <w:rsid w:val="00B43340"/>
    <w:rsid w:val="00B46522"/>
    <w:rsid w:val="00B465BB"/>
    <w:rsid w:val="00B51082"/>
    <w:rsid w:val="00B519E4"/>
    <w:rsid w:val="00B550D4"/>
    <w:rsid w:val="00B56CF0"/>
    <w:rsid w:val="00B6228E"/>
    <w:rsid w:val="00B62EC0"/>
    <w:rsid w:val="00B64BF0"/>
    <w:rsid w:val="00B66465"/>
    <w:rsid w:val="00B66E1E"/>
    <w:rsid w:val="00B70F50"/>
    <w:rsid w:val="00B77ADF"/>
    <w:rsid w:val="00B77BE2"/>
    <w:rsid w:val="00B82EE3"/>
    <w:rsid w:val="00B831BE"/>
    <w:rsid w:val="00B9256F"/>
    <w:rsid w:val="00B93B2A"/>
    <w:rsid w:val="00B93D6C"/>
    <w:rsid w:val="00B96104"/>
    <w:rsid w:val="00B97368"/>
    <w:rsid w:val="00B97854"/>
    <w:rsid w:val="00BA0D01"/>
    <w:rsid w:val="00BA1019"/>
    <w:rsid w:val="00BA2F9F"/>
    <w:rsid w:val="00BA3591"/>
    <w:rsid w:val="00BA66CC"/>
    <w:rsid w:val="00BA79FA"/>
    <w:rsid w:val="00BB17F4"/>
    <w:rsid w:val="00BB1FF1"/>
    <w:rsid w:val="00BB4D07"/>
    <w:rsid w:val="00BB5DEE"/>
    <w:rsid w:val="00BB6A40"/>
    <w:rsid w:val="00BB7D17"/>
    <w:rsid w:val="00BC2293"/>
    <w:rsid w:val="00BC24F7"/>
    <w:rsid w:val="00BC29C3"/>
    <w:rsid w:val="00BD1811"/>
    <w:rsid w:val="00BD31E9"/>
    <w:rsid w:val="00BD486A"/>
    <w:rsid w:val="00BD4C29"/>
    <w:rsid w:val="00BD68BB"/>
    <w:rsid w:val="00BD7C74"/>
    <w:rsid w:val="00BE01C0"/>
    <w:rsid w:val="00BE1667"/>
    <w:rsid w:val="00BE1B26"/>
    <w:rsid w:val="00BE24EA"/>
    <w:rsid w:val="00BE336E"/>
    <w:rsid w:val="00BE469A"/>
    <w:rsid w:val="00BE60A4"/>
    <w:rsid w:val="00BE6F2D"/>
    <w:rsid w:val="00BE76BF"/>
    <w:rsid w:val="00BE7BCC"/>
    <w:rsid w:val="00BE7C6D"/>
    <w:rsid w:val="00BF06FC"/>
    <w:rsid w:val="00BF127E"/>
    <w:rsid w:val="00BF1BE0"/>
    <w:rsid w:val="00BF356D"/>
    <w:rsid w:val="00BF47BD"/>
    <w:rsid w:val="00BF550E"/>
    <w:rsid w:val="00C001C0"/>
    <w:rsid w:val="00C00DF6"/>
    <w:rsid w:val="00C011E2"/>
    <w:rsid w:val="00C01FAE"/>
    <w:rsid w:val="00C04036"/>
    <w:rsid w:val="00C04194"/>
    <w:rsid w:val="00C06ACB"/>
    <w:rsid w:val="00C06E04"/>
    <w:rsid w:val="00C07064"/>
    <w:rsid w:val="00C07941"/>
    <w:rsid w:val="00C11E9C"/>
    <w:rsid w:val="00C121A9"/>
    <w:rsid w:val="00C13401"/>
    <w:rsid w:val="00C13885"/>
    <w:rsid w:val="00C20C18"/>
    <w:rsid w:val="00C2337A"/>
    <w:rsid w:val="00C245F9"/>
    <w:rsid w:val="00C30349"/>
    <w:rsid w:val="00C309F2"/>
    <w:rsid w:val="00C31068"/>
    <w:rsid w:val="00C3149E"/>
    <w:rsid w:val="00C31534"/>
    <w:rsid w:val="00C33A85"/>
    <w:rsid w:val="00C33F70"/>
    <w:rsid w:val="00C35E49"/>
    <w:rsid w:val="00C40B67"/>
    <w:rsid w:val="00C41A41"/>
    <w:rsid w:val="00C41CC2"/>
    <w:rsid w:val="00C41FD7"/>
    <w:rsid w:val="00C421B9"/>
    <w:rsid w:val="00C43E0C"/>
    <w:rsid w:val="00C4693B"/>
    <w:rsid w:val="00C46CB0"/>
    <w:rsid w:val="00C503BC"/>
    <w:rsid w:val="00C51550"/>
    <w:rsid w:val="00C52C7E"/>
    <w:rsid w:val="00C53E33"/>
    <w:rsid w:val="00C5509D"/>
    <w:rsid w:val="00C559C9"/>
    <w:rsid w:val="00C55EC2"/>
    <w:rsid w:val="00C55F2D"/>
    <w:rsid w:val="00C55F2F"/>
    <w:rsid w:val="00C57E4C"/>
    <w:rsid w:val="00C628D0"/>
    <w:rsid w:val="00C65079"/>
    <w:rsid w:val="00C74E09"/>
    <w:rsid w:val="00C76637"/>
    <w:rsid w:val="00C767AA"/>
    <w:rsid w:val="00C77526"/>
    <w:rsid w:val="00C801B9"/>
    <w:rsid w:val="00C81815"/>
    <w:rsid w:val="00C81DA1"/>
    <w:rsid w:val="00C81EB1"/>
    <w:rsid w:val="00C906E2"/>
    <w:rsid w:val="00C9369C"/>
    <w:rsid w:val="00C93AC9"/>
    <w:rsid w:val="00C93F46"/>
    <w:rsid w:val="00C94DBC"/>
    <w:rsid w:val="00C971F7"/>
    <w:rsid w:val="00CA30BB"/>
    <w:rsid w:val="00CA3329"/>
    <w:rsid w:val="00CA40A8"/>
    <w:rsid w:val="00CA4464"/>
    <w:rsid w:val="00CA7420"/>
    <w:rsid w:val="00CB5F1E"/>
    <w:rsid w:val="00CC0520"/>
    <w:rsid w:val="00CC3E28"/>
    <w:rsid w:val="00CC3FF3"/>
    <w:rsid w:val="00CC5D65"/>
    <w:rsid w:val="00CC7854"/>
    <w:rsid w:val="00CD1B8C"/>
    <w:rsid w:val="00CD2C0F"/>
    <w:rsid w:val="00CD2C1A"/>
    <w:rsid w:val="00CD3B0A"/>
    <w:rsid w:val="00CD4DB2"/>
    <w:rsid w:val="00CD5197"/>
    <w:rsid w:val="00CD6A87"/>
    <w:rsid w:val="00CD7EB3"/>
    <w:rsid w:val="00CD7F7D"/>
    <w:rsid w:val="00CE1925"/>
    <w:rsid w:val="00CE19A0"/>
    <w:rsid w:val="00CF1158"/>
    <w:rsid w:val="00CF60F0"/>
    <w:rsid w:val="00CF6EE9"/>
    <w:rsid w:val="00CF75FB"/>
    <w:rsid w:val="00D01A7E"/>
    <w:rsid w:val="00D025FF"/>
    <w:rsid w:val="00D02CF4"/>
    <w:rsid w:val="00D0328D"/>
    <w:rsid w:val="00D04082"/>
    <w:rsid w:val="00D0694B"/>
    <w:rsid w:val="00D1294B"/>
    <w:rsid w:val="00D1307F"/>
    <w:rsid w:val="00D15EDF"/>
    <w:rsid w:val="00D16BC6"/>
    <w:rsid w:val="00D17F60"/>
    <w:rsid w:val="00D17FD3"/>
    <w:rsid w:val="00D211CE"/>
    <w:rsid w:val="00D22109"/>
    <w:rsid w:val="00D23AD8"/>
    <w:rsid w:val="00D24371"/>
    <w:rsid w:val="00D24DB2"/>
    <w:rsid w:val="00D26C1C"/>
    <w:rsid w:val="00D3498F"/>
    <w:rsid w:val="00D35A06"/>
    <w:rsid w:val="00D35DA2"/>
    <w:rsid w:val="00D37908"/>
    <w:rsid w:val="00D406B7"/>
    <w:rsid w:val="00D40ED3"/>
    <w:rsid w:val="00D41B94"/>
    <w:rsid w:val="00D4440E"/>
    <w:rsid w:val="00D44678"/>
    <w:rsid w:val="00D44CF3"/>
    <w:rsid w:val="00D45ED0"/>
    <w:rsid w:val="00D51DD0"/>
    <w:rsid w:val="00D52545"/>
    <w:rsid w:val="00D53AE2"/>
    <w:rsid w:val="00D60CA4"/>
    <w:rsid w:val="00D63866"/>
    <w:rsid w:val="00D64783"/>
    <w:rsid w:val="00D65071"/>
    <w:rsid w:val="00D65652"/>
    <w:rsid w:val="00D657E5"/>
    <w:rsid w:val="00D6603D"/>
    <w:rsid w:val="00D66079"/>
    <w:rsid w:val="00D6793F"/>
    <w:rsid w:val="00D67BEE"/>
    <w:rsid w:val="00D7072D"/>
    <w:rsid w:val="00D721DC"/>
    <w:rsid w:val="00D72C22"/>
    <w:rsid w:val="00D73227"/>
    <w:rsid w:val="00D74A21"/>
    <w:rsid w:val="00D7657F"/>
    <w:rsid w:val="00D779F1"/>
    <w:rsid w:val="00D77D44"/>
    <w:rsid w:val="00D8220E"/>
    <w:rsid w:val="00D82DE4"/>
    <w:rsid w:val="00D84E2D"/>
    <w:rsid w:val="00D85BE0"/>
    <w:rsid w:val="00D90590"/>
    <w:rsid w:val="00D94601"/>
    <w:rsid w:val="00D94988"/>
    <w:rsid w:val="00D94A51"/>
    <w:rsid w:val="00D967BB"/>
    <w:rsid w:val="00DA0169"/>
    <w:rsid w:val="00DA0B2D"/>
    <w:rsid w:val="00DA254F"/>
    <w:rsid w:val="00DA2571"/>
    <w:rsid w:val="00DA2977"/>
    <w:rsid w:val="00DA2B46"/>
    <w:rsid w:val="00DA618E"/>
    <w:rsid w:val="00DB0BE9"/>
    <w:rsid w:val="00DB186E"/>
    <w:rsid w:val="00DB24A0"/>
    <w:rsid w:val="00DB37F8"/>
    <w:rsid w:val="00DB4C82"/>
    <w:rsid w:val="00DB5200"/>
    <w:rsid w:val="00DB5A53"/>
    <w:rsid w:val="00DB6151"/>
    <w:rsid w:val="00DC1536"/>
    <w:rsid w:val="00DC5D0B"/>
    <w:rsid w:val="00DC7FAB"/>
    <w:rsid w:val="00DD10CD"/>
    <w:rsid w:val="00DD14F9"/>
    <w:rsid w:val="00DD1CBB"/>
    <w:rsid w:val="00DD3E47"/>
    <w:rsid w:val="00DD4A47"/>
    <w:rsid w:val="00DD533D"/>
    <w:rsid w:val="00DD710A"/>
    <w:rsid w:val="00DE263F"/>
    <w:rsid w:val="00DE4B73"/>
    <w:rsid w:val="00DE5B07"/>
    <w:rsid w:val="00DF0825"/>
    <w:rsid w:val="00DF1B28"/>
    <w:rsid w:val="00DF2B11"/>
    <w:rsid w:val="00DF3DB9"/>
    <w:rsid w:val="00DF47D9"/>
    <w:rsid w:val="00E006D3"/>
    <w:rsid w:val="00E0208D"/>
    <w:rsid w:val="00E02334"/>
    <w:rsid w:val="00E03111"/>
    <w:rsid w:val="00E03FF3"/>
    <w:rsid w:val="00E04210"/>
    <w:rsid w:val="00E04BD2"/>
    <w:rsid w:val="00E06CCC"/>
    <w:rsid w:val="00E11672"/>
    <w:rsid w:val="00E12EB8"/>
    <w:rsid w:val="00E13B66"/>
    <w:rsid w:val="00E1558E"/>
    <w:rsid w:val="00E17D5D"/>
    <w:rsid w:val="00E2004E"/>
    <w:rsid w:val="00E22B87"/>
    <w:rsid w:val="00E243FF"/>
    <w:rsid w:val="00E26262"/>
    <w:rsid w:val="00E30D17"/>
    <w:rsid w:val="00E31898"/>
    <w:rsid w:val="00E324D2"/>
    <w:rsid w:val="00E33833"/>
    <w:rsid w:val="00E34CB1"/>
    <w:rsid w:val="00E375A8"/>
    <w:rsid w:val="00E3779E"/>
    <w:rsid w:val="00E413D7"/>
    <w:rsid w:val="00E4333E"/>
    <w:rsid w:val="00E4526E"/>
    <w:rsid w:val="00E456B7"/>
    <w:rsid w:val="00E45870"/>
    <w:rsid w:val="00E46B3A"/>
    <w:rsid w:val="00E504BE"/>
    <w:rsid w:val="00E5181E"/>
    <w:rsid w:val="00E554EA"/>
    <w:rsid w:val="00E557B9"/>
    <w:rsid w:val="00E60268"/>
    <w:rsid w:val="00E6185B"/>
    <w:rsid w:val="00E65EE5"/>
    <w:rsid w:val="00E67F09"/>
    <w:rsid w:val="00E71594"/>
    <w:rsid w:val="00E7174B"/>
    <w:rsid w:val="00E812BF"/>
    <w:rsid w:val="00E825F9"/>
    <w:rsid w:val="00E82859"/>
    <w:rsid w:val="00E854DE"/>
    <w:rsid w:val="00E87DDF"/>
    <w:rsid w:val="00E900E3"/>
    <w:rsid w:val="00E90A42"/>
    <w:rsid w:val="00E92B31"/>
    <w:rsid w:val="00E92BE0"/>
    <w:rsid w:val="00E95AD2"/>
    <w:rsid w:val="00EA14A7"/>
    <w:rsid w:val="00EA1537"/>
    <w:rsid w:val="00EA4D1D"/>
    <w:rsid w:val="00EA5540"/>
    <w:rsid w:val="00EA6C61"/>
    <w:rsid w:val="00EA7961"/>
    <w:rsid w:val="00EB1484"/>
    <w:rsid w:val="00EB317D"/>
    <w:rsid w:val="00EC05A0"/>
    <w:rsid w:val="00EC0670"/>
    <w:rsid w:val="00EC09A3"/>
    <w:rsid w:val="00EC2371"/>
    <w:rsid w:val="00EC3317"/>
    <w:rsid w:val="00EC3C1B"/>
    <w:rsid w:val="00EC4AD1"/>
    <w:rsid w:val="00ED090D"/>
    <w:rsid w:val="00ED5B25"/>
    <w:rsid w:val="00ED6647"/>
    <w:rsid w:val="00ED7A84"/>
    <w:rsid w:val="00EE1C9B"/>
    <w:rsid w:val="00EE26E2"/>
    <w:rsid w:val="00EE3FC6"/>
    <w:rsid w:val="00EE6AF8"/>
    <w:rsid w:val="00EE7C74"/>
    <w:rsid w:val="00EF4CEC"/>
    <w:rsid w:val="00EF53CC"/>
    <w:rsid w:val="00EF690B"/>
    <w:rsid w:val="00EF770D"/>
    <w:rsid w:val="00F00593"/>
    <w:rsid w:val="00F01293"/>
    <w:rsid w:val="00F028EF"/>
    <w:rsid w:val="00F03717"/>
    <w:rsid w:val="00F0536B"/>
    <w:rsid w:val="00F05E53"/>
    <w:rsid w:val="00F0728B"/>
    <w:rsid w:val="00F07B60"/>
    <w:rsid w:val="00F10492"/>
    <w:rsid w:val="00F10D6C"/>
    <w:rsid w:val="00F12971"/>
    <w:rsid w:val="00F12F11"/>
    <w:rsid w:val="00F13EF3"/>
    <w:rsid w:val="00F155FD"/>
    <w:rsid w:val="00F159A4"/>
    <w:rsid w:val="00F16903"/>
    <w:rsid w:val="00F1738B"/>
    <w:rsid w:val="00F20AA4"/>
    <w:rsid w:val="00F21094"/>
    <w:rsid w:val="00F21D39"/>
    <w:rsid w:val="00F24D23"/>
    <w:rsid w:val="00F27A95"/>
    <w:rsid w:val="00F30A45"/>
    <w:rsid w:val="00F31448"/>
    <w:rsid w:val="00F3361E"/>
    <w:rsid w:val="00F33666"/>
    <w:rsid w:val="00F3372E"/>
    <w:rsid w:val="00F3450E"/>
    <w:rsid w:val="00F37C34"/>
    <w:rsid w:val="00F37F88"/>
    <w:rsid w:val="00F40C5E"/>
    <w:rsid w:val="00F412AB"/>
    <w:rsid w:val="00F4230E"/>
    <w:rsid w:val="00F4234F"/>
    <w:rsid w:val="00F4370B"/>
    <w:rsid w:val="00F45C4F"/>
    <w:rsid w:val="00F46D97"/>
    <w:rsid w:val="00F525F2"/>
    <w:rsid w:val="00F53860"/>
    <w:rsid w:val="00F53CB7"/>
    <w:rsid w:val="00F54959"/>
    <w:rsid w:val="00F55FA5"/>
    <w:rsid w:val="00F61484"/>
    <w:rsid w:val="00F61495"/>
    <w:rsid w:val="00F64406"/>
    <w:rsid w:val="00F65002"/>
    <w:rsid w:val="00F66026"/>
    <w:rsid w:val="00F678E3"/>
    <w:rsid w:val="00F71B79"/>
    <w:rsid w:val="00F728A9"/>
    <w:rsid w:val="00F74235"/>
    <w:rsid w:val="00F75327"/>
    <w:rsid w:val="00F842B5"/>
    <w:rsid w:val="00F859BA"/>
    <w:rsid w:val="00F864AC"/>
    <w:rsid w:val="00F87655"/>
    <w:rsid w:val="00F932E3"/>
    <w:rsid w:val="00F93729"/>
    <w:rsid w:val="00F94D7C"/>
    <w:rsid w:val="00F95432"/>
    <w:rsid w:val="00F95A7E"/>
    <w:rsid w:val="00F96260"/>
    <w:rsid w:val="00F97C31"/>
    <w:rsid w:val="00FA0C00"/>
    <w:rsid w:val="00FA112E"/>
    <w:rsid w:val="00FA4B35"/>
    <w:rsid w:val="00FA4E01"/>
    <w:rsid w:val="00FA68A8"/>
    <w:rsid w:val="00FB01BA"/>
    <w:rsid w:val="00FB0DAD"/>
    <w:rsid w:val="00FB2E8B"/>
    <w:rsid w:val="00FB386D"/>
    <w:rsid w:val="00FC02BB"/>
    <w:rsid w:val="00FC21C2"/>
    <w:rsid w:val="00FC26E4"/>
    <w:rsid w:val="00FC2ECB"/>
    <w:rsid w:val="00FC3C75"/>
    <w:rsid w:val="00FC5620"/>
    <w:rsid w:val="00FC61F8"/>
    <w:rsid w:val="00FC67A1"/>
    <w:rsid w:val="00FC77DE"/>
    <w:rsid w:val="00FC7BCF"/>
    <w:rsid w:val="00FD08F8"/>
    <w:rsid w:val="00FD0D02"/>
    <w:rsid w:val="00FD1E50"/>
    <w:rsid w:val="00FD2FA9"/>
    <w:rsid w:val="00FD340B"/>
    <w:rsid w:val="00FD551C"/>
    <w:rsid w:val="00FD660C"/>
    <w:rsid w:val="00FD6F25"/>
    <w:rsid w:val="00FD7E2A"/>
    <w:rsid w:val="00FE00AD"/>
    <w:rsid w:val="00FE1257"/>
    <w:rsid w:val="00FE424C"/>
    <w:rsid w:val="00FE5C9E"/>
    <w:rsid w:val="00FE67E1"/>
    <w:rsid w:val="00FE6B94"/>
    <w:rsid w:val="00FE6F06"/>
    <w:rsid w:val="00FF0471"/>
    <w:rsid w:val="00FF67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08100"/>
  <w15:chartTrackingRefBased/>
  <w15:docId w15:val="{48A9325F-E2C9-4A34-850F-9F7D1F30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3">
    <w:name w:val="heading 3"/>
    <w:basedOn w:val="Normal"/>
    <w:link w:val="Heading3Char"/>
    <w:uiPriority w:val="9"/>
    <w:qFormat/>
    <w:rsid w:val="007E5605"/>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7F1B"/>
    <w:rPr>
      <w:rFonts w:cs="Times New Roman"/>
      <w:color w:val="0000FF"/>
      <w:u w:val="single"/>
    </w:rPr>
  </w:style>
  <w:style w:type="character" w:styleId="Strong">
    <w:name w:val="Strong"/>
    <w:uiPriority w:val="22"/>
    <w:qFormat/>
    <w:rsid w:val="00487F1B"/>
    <w:rPr>
      <w:rFonts w:cs="Times New Roman"/>
      <w:b/>
      <w:bCs/>
    </w:rPr>
  </w:style>
  <w:style w:type="table" w:styleId="TableGrid">
    <w:name w:val="Table Grid"/>
    <w:basedOn w:val="TableNormal"/>
    <w:rsid w:val="00EE6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link w:val="SalutationChar"/>
    <w:rsid w:val="001F5702"/>
    <w:pPr>
      <w:spacing w:before="220" w:after="220" w:line="220" w:lineRule="atLeast"/>
    </w:pPr>
    <w:rPr>
      <w:rFonts w:ascii="Arial" w:hAnsi="Arial"/>
      <w:spacing w:val="-5"/>
      <w:sz w:val="20"/>
      <w:szCs w:val="20"/>
      <w:lang w:val="en-US" w:eastAsia="en-US" w:bidi="ar-JO"/>
    </w:rPr>
  </w:style>
  <w:style w:type="character" w:customStyle="1" w:styleId="SalutationChar">
    <w:name w:val="Salutation Char"/>
    <w:link w:val="Salutation"/>
    <w:rsid w:val="001F5702"/>
    <w:rPr>
      <w:rFonts w:ascii="Arial" w:hAnsi="Arial"/>
      <w:spacing w:val="-5"/>
      <w:lang w:val="en-US" w:eastAsia="en-US" w:bidi="ar-JO"/>
    </w:rPr>
  </w:style>
  <w:style w:type="character" w:customStyle="1" w:styleId="2">
    <w:name w:val="Основной текст (2)"/>
    <w:rsid w:val="00E324D2"/>
    <w:rPr>
      <w:rFonts w:ascii="Palatino Linotype" w:eastAsia="Palatino Linotype" w:hAnsi="Palatino Linotype" w:cs="Palatino Linotype"/>
      <w:b w:val="0"/>
      <w:bCs w:val="0"/>
      <w:i w:val="0"/>
      <w:iCs w:val="0"/>
      <w:smallCaps w:val="0"/>
      <w:strike w:val="0"/>
      <w:spacing w:val="0"/>
      <w:sz w:val="15"/>
      <w:szCs w:val="15"/>
    </w:rPr>
  </w:style>
  <w:style w:type="paragraph" w:styleId="Quote">
    <w:name w:val="Quote"/>
    <w:basedOn w:val="Normal"/>
    <w:next w:val="Normal"/>
    <w:link w:val="QuoteChar"/>
    <w:uiPriority w:val="29"/>
    <w:qFormat/>
    <w:rsid w:val="00D3498F"/>
    <w:pPr>
      <w:spacing w:before="200" w:after="160"/>
      <w:ind w:left="864" w:right="864"/>
      <w:jc w:val="center"/>
    </w:pPr>
    <w:rPr>
      <w:i/>
      <w:iCs/>
      <w:color w:val="404040"/>
    </w:rPr>
  </w:style>
  <w:style w:type="character" w:customStyle="1" w:styleId="QuoteChar">
    <w:name w:val="Quote Char"/>
    <w:link w:val="Quote"/>
    <w:uiPriority w:val="29"/>
    <w:rsid w:val="00D3498F"/>
    <w:rPr>
      <w:i/>
      <w:iCs/>
      <w:color w:val="404040"/>
      <w:sz w:val="24"/>
      <w:szCs w:val="24"/>
      <w:lang w:val="en-GB" w:eastAsia="en-GB"/>
    </w:rPr>
  </w:style>
  <w:style w:type="paragraph" w:styleId="CommentText">
    <w:name w:val="annotation text"/>
    <w:basedOn w:val="Normal"/>
    <w:link w:val="CommentTextChar"/>
    <w:uiPriority w:val="99"/>
    <w:unhideWhenUsed/>
    <w:rsid w:val="00D3498F"/>
    <w:pPr>
      <w:spacing w:after="160"/>
    </w:pPr>
    <w:rPr>
      <w:rFonts w:ascii="Calibri" w:eastAsia="Calibri" w:hAnsi="Calibri"/>
      <w:sz w:val="20"/>
      <w:szCs w:val="20"/>
      <w:lang w:val="en-US" w:eastAsia="en-US"/>
    </w:rPr>
  </w:style>
  <w:style w:type="character" w:customStyle="1" w:styleId="CommentTextChar">
    <w:name w:val="Comment Text Char"/>
    <w:link w:val="CommentText"/>
    <w:uiPriority w:val="99"/>
    <w:rsid w:val="00D3498F"/>
    <w:rPr>
      <w:rFonts w:ascii="Calibri" w:eastAsia="Calibri" w:hAnsi="Calibri"/>
    </w:rPr>
  </w:style>
  <w:style w:type="character" w:styleId="CommentReference">
    <w:name w:val="annotation reference"/>
    <w:uiPriority w:val="99"/>
    <w:unhideWhenUsed/>
    <w:rsid w:val="00D3498F"/>
    <w:rPr>
      <w:sz w:val="16"/>
      <w:szCs w:val="16"/>
    </w:rPr>
  </w:style>
  <w:style w:type="character" w:styleId="IntenseEmphasis">
    <w:name w:val="Intense Emphasis"/>
    <w:uiPriority w:val="21"/>
    <w:qFormat/>
    <w:rsid w:val="00D3498F"/>
    <w:rPr>
      <w:i/>
      <w:iCs/>
      <w:color w:val="4472C4"/>
    </w:rPr>
  </w:style>
  <w:style w:type="character" w:customStyle="1" w:styleId="eop">
    <w:name w:val="eop"/>
    <w:basedOn w:val="DefaultParagraphFont"/>
    <w:uiPriority w:val="1"/>
    <w:rsid w:val="00D3498F"/>
  </w:style>
  <w:style w:type="character" w:customStyle="1" w:styleId="normaltextrun">
    <w:name w:val="normaltextrun"/>
    <w:basedOn w:val="DefaultParagraphFont"/>
    <w:uiPriority w:val="1"/>
    <w:rsid w:val="00D3498F"/>
  </w:style>
  <w:style w:type="character" w:customStyle="1" w:styleId="UnresolvedMention1">
    <w:name w:val="Unresolved Mention1"/>
    <w:uiPriority w:val="99"/>
    <w:semiHidden/>
    <w:unhideWhenUsed/>
    <w:rsid w:val="00D3498F"/>
    <w:rPr>
      <w:color w:val="605E5C"/>
      <w:shd w:val="clear" w:color="auto" w:fill="E1DFDD"/>
    </w:rPr>
  </w:style>
  <w:style w:type="paragraph" w:styleId="NormalWeb">
    <w:name w:val="Normal (Web)"/>
    <w:basedOn w:val="Normal"/>
    <w:uiPriority w:val="99"/>
    <w:unhideWhenUsed/>
    <w:rsid w:val="00762EAA"/>
    <w:pPr>
      <w:spacing w:before="100" w:beforeAutospacing="1" w:after="100" w:afterAutospacing="1"/>
    </w:pPr>
    <w:rPr>
      <w:lang w:val="en-US" w:eastAsia="en-US"/>
    </w:rPr>
  </w:style>
  <w:style w:type="paragraph" w:styleId="PlainText">
    <w:name w:val="Plain Text"/>
    <w:basedOn w:val="Normal"/>
    <w:link w:val="PlainTextChar"/>
    <w:uiPriority w:val="99"/>
    <w:unhideWhenUsed/>
    <w:rsid w:val="00371F07"/>
    <w:rPr>
      <w:rFonts w:ascii="Calibri" w:eastAsiaTheme="minorHAnsi" w:hAnsi="Calibri" w:cstheme="minorBidi"/>
      <w:sz w:val="22"/>
      <w:szCs w:val="21"/>
      <w:lang w:val="ru-RU" w:eastAsia="en-US"/>
    </w:rPr>
  </w:style>
  <w:style w:type="character" w:customStyle="1" w:styleId="PlainTextChar">
    <w:name w:val="Plain Text Char"/>
    <w:basedOn w:val="DefaultParagraphFont"/>
    <w:link w:val="PlainText"/>
    <w:uiPriority w:val="99"/>
    <w:rsid w:val="00371F07"/>
    <w:rPr>
      <w:rFonts w:ascii="Calibri" w:eastAsiaTheme="minorHAnsi" w:hAnsi="Calibri" w:cstheme="minorBidi"/>
      <w:sz w:val="22"/>
      <w:szCs w:val="21"/>
      <w:lang w:val="ru-RU"/>
    </w:rPr>
  </w:style>
  <w:style w:type="character" w:customStyle="1" w:styleId="Heading3Char">
    <w:name w:val="Heading 3 Char"/>
    <w:basedOn w:val="DefaultParagraphFont"/>
    <w:link w:val="Heading3"/>
    <w:uiPriority w:val="9"/>
    <w:rsid w:val="007E5605"/>
    <w:rPr>
      <w:b/>
      <w:bCs/>
      <w:sz w:val="27"/>
      <w:szCs w:val="27"/>
    </w:rPr>
  </w:style>
  <w:style w:type="character" w:customStyle="1" w:styleId="overflow-hidden">
    <w:name w:val="overflow-hidden"/>
    <w:basedOn w:val="DefaultParagraphFont"/>
    <w:rsid w:val="004C2A5E"/>
  </w:style>
  <w:style w:type="paragraph" w:styleId="ListParagraph">
    <w:name w:val="List Paragraph"/>
    <w:basedOn w:val="Normal"/>
    <w:uiPriority w:val="34"/>
    <w:qFormat/>
    <w:rsid w:val="0070408E"/>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rsid w:val="00845867"/>
    <w:rPr>
      <w:rFonts w:ascii="Segoe UI" w:hAnsi="Segoe UI" w:cs="Segoe UI"/>
      <w:sz w:val="18"/>
      <w:szCs w:val="18"/>
    </w:rPr>
  </w:style>
  <w:style w:type="character" w:customStyle="1" w:styleId="BalloonTextChar">
    <w:name w:val="Balloon Text Char"/>
    <w:basedOn w:val="DefaultParagraphFont"/>
    <w:link w:val="BalloonText"/>
    <w:rsid w:val="00845867"/>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5639">
      <w:bodyDiv w:val="1"/>
      <w:marLeft w:val="0"/>
      <w:marRight w:val="0"/>
      <w:marTop w:val="0"/>
      <w:marBottom w:val="0"/>
      <w:divBdr>
        <w:top w:val="none" w:sz="0" w:space="0" w:color="auto"/>
        <w:left w:val="none" w:sz="0" w:space="0" w:color="auto"/>
        <w:bottom w:val="none" w:sz="0" w:space="0" w:color="auto"/>
        <w:right w:val="none" w:sz="0" w:space="0" w:color="auto"/>
      </w:divBdr>
    </w:div>
    <w:div w:id="373894254">
      <w:bodyDiv w:val="1"/>
      <w:marLeft w:val="0"/>
      <w:marRight w:val="0"/>
      <w:marTop w:val="0"/>
      <w:marBottom w:val="0"/>
      <w:divBdr>
        <w:top w:val="none" w:sz="0" w:space="0" w:color="auto"/>
        <w:left w:val="none" w:sz="0" w:space="0" w:color="auto"/>
        <w:bottom w:val="none" w:sz="0" w:space="0" w:color="auto"/>
        <w:right w:val="none" w:sz="0" w:space="0" w:color="auto"/>
      </w:divBdr>
    </w:div>
    <w:div w:id="921909605">
      <w:bodyDiv w:val="1"/>
      <w:marLeft w:val="0"/>
      <w:marRight w:val="0"/>
      <w:marTop w:val="0"/>
      <w:marBottom w:val="0"/>
      <w:divBdr>
        <w:top w:val="none" w:sz="0" w:space="0" w:color="auto"/>
        <w:left w:val="none" w:sz="0" w:space="0" w:color="auto"/>
        <w:bottom w:val="none" w:sz="0" w:space="0" w:color="auto"/>
        <w:right w:val="none" w:sz="0" w:space="0" w:color="auto"/>
      </w:divBdr>
    </w:div>
    <w:div w:id="1138650699">
      <w:bodyDiv w:val="1"/>
      <w:marLeft w:val="0"/>
      <w:marRight w:val="0"/>
      <w:marTop w:val="0"/>
      <w:marBottom w:val="0"/>
      <w:divBdr>
        <w:top w:val="none" w:sz="0" w:space="0" w:color="auto"/>
        <w:left w:val="none" w:sz="0" w:space="0" w:color="auto"/>
        <w:bottom w:val="none" w:sz="0" w:space="0" w:color="auto"/>
        <w:right w:val="none" w:sz="0" w:space="0" w:color="auto"/>
      </w:divBdr>
      <w:divsChild>
        <w:div w:id="642274031">
          <w:marLeft w:val="0"/>
          <w:marRight w:val="0"/>
          <w:marTop w:val="0"/>
          <w:marBottom w:val="0"/>
          <w:divBdr>
            <w:top w:val="none" w:sz="0" w:space="0" w:color="auto"/>
            <w:left w:val="none" w:sz="0" w:space="0" w:color="auto"/>
            <w:bottom w:val="none" w:sz="0" w:space="0" w:color="auto"/>
            <w:right w:val="none" w:sz="0" w:space="0" w:color="auto"/>
          </w:divBdr>
          <w:divsChild>
            <w:div w:id="1428306672">
              <w:marLeft w:val="0"/>
              <w:marRight w:val="0"/>
              <w:marTop w:val="0"/>
              <w:marBottom w:val="0"/>
              <w:divBdr>
                <w:top w:val="none" w:sz="0" w:space="0" w:color="auto"/>
                <w:left w:val="none" w:sz="0" w:space="0" w:color="auto"/>
                <w:bottom w:val="none" w:sz="0" w:space="0" w:color="auto"/>
                <w:right w:val="none" w:sz="0" w:space="0" w:color="auto"/>
              </w:divBdr>
              <w:divsChild>
                <w:div w:id="214119516">
                  <w:marLeft w:val="0"/>
                  <w:marRight w:val="0"/>
                  <w:marTop w:val="0"/>
                  <w:marBottom w:val="0"/>
                  <w:divBdr>
                    <w:top w:val="none" w:sz="0" w:space="0" w:color="auto"/>
                    <w:left w:val="none" w:sz="0" w:space="0" w:color="auto"/>
                    <w:bottom w:val="none" w:sz="0" w:space="0" w:color="auto"/>
                    <w:right w:val="none" w:sz="0" w:space="0" w:color="auto"/>
                  </w:divBdr>
                  <w:divsChild>
                    <w:div w:id="14296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54905">
          <w:marLeft w:val="0"/>
          <w:marRight w:val="0"/>
          <w:marTop w:val="0"/>
          <w:marBottom w:val="0"/>
          <w:divBdr>
            <w:top w:val="none" w:sz="0" w:space="0" w:color="auto"/>
            <w:left w:val="none" w:sz="0" w:space="0" w:color="auto"/>
            <w:bottom w:val="none" w:sz="0" w:space="0" w:color="auto"/>
            <w:right w:val="none" w:sz="0" w:space="0" w:color="auto"/>
          </w:divBdr>
          <w:divsChild>
            <w:div w:id="1190727750">
              <w:marLeft w:val="0"/>
              <w:marRight w:val="0"/>
              <w:marTop w:val="0"/>
              <w:marBottom w:val="0"/>
              <w:divBdr>
                <w:top w:val="none" w:sz="0" w:space="0" w:color="auto"/>
                <w:left w:val="none" w:sz="0" w:space="0" w:color="auto"/>
                <w:bottom w:val="none" w:sz="0" w:space="0" w:color="auto"/>
                <w:right w:val="none" w:sz="0" w:space="0" w:color="auto"/>
              </w:divBdr>
              <w:divsChild>
                <w:div w:id="1021854299">
                  <w:marLeft w:val="0"/>
                  <w:marRight w:val="0"/>
                  <w:marTop w:val="0"/>
                  <w:marBottom w:val="0"/>
                  <w:divBdr>
                    <w:top w:val="none" w:sz="0" w:space="0" w:color="auto"/>
                    <w:left w:val="none" w:sz="0" w:space="0" w:color="auto"/>
                    <w:bottom w:val="none" w:sz="0" w:space="0" w:color="auto"/>
                    <w:right w:val="none" w:sz="0" w:space="0" w:color="auto"/>
                  </w:divBdr>
                  <w:divsChild>
                    <w:div w:id="51114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675753">
      <w:bodyDiv w:val="1"/>
      <w:marLeft w:val="0"/>
      <w:marRight w:val="0"/>
      <w:marTop w:val="0"/>
      <w:marBottom w:val="0"/>
      <w:divBdr>
        <w:top w:val="none" w:sz="0" w:space="0" w:color="auto"/>
        <w:left w:val="none" w:sz="0" w:space="0" w:color="auto"/>
        <w:bottom w:val="none" w:sz="0" w:space="0" w:color="auto"/>
        <w:right w:val="none" w:sz="0" w:space="0" w:color="auto"/>
      </w:divBdr>
    </w:div>
    <w:div w:id="1272475172">
      <w:bodyDiv w:val="1"/>
      <w:marLeft w:val="0"/>
      <w:marRight w:val="0"/>
      <w:marTop w:val="0"/>
      <w:marBottom w:val="0"/>
      <w:divBdr>
        <w:top w:val="none" w:sz="0" w:space="0" w:color="auto"/>
        <w:left w:val="none" w:sz="0" w:space="0" w:color="auto"/>
        <w:bottom w:val="none" w:sz="0" w:space="0" w:color="auto"/>
        <w:right w:val="none" w:sz="0" w:space="0" w:color="auto"/>
      </w:divBdr>
      <w:divsChild>
        <w:div w:id="373820402">
          <w:marLeft w:val="0"/>
          <w:marRight w:val="0"/>
          <w:marTop w:val="0"/>
          <w:marBottom w:val="0"/>
          <w:divBdr>
            <w:top w:val="none" w:sz="0" w:space="0" w:color="auto"/>
            <w:left w:val="none" w:sz="0" w:space="0" w:color="auto"/>
            <w:bottom w:val="none" w:sz="0" w:space="0" w:color="auto"/>
            <w:right w:val="none" w:sz="0" w:space="0" w:color="auto"/>
          </w:divBdr>
          <w:divsChild>
            <w:div w:id="896554457">
              <w:marLeft w:val="0"/>
              <w:marRight w:val="0"/>
              <w:marTop w:val="0"/>
              <w:marBottom w:val="0"/>
              <w:divBdr>
                <w:top w:val="none" w:sz="0" w:space="0" w:color="auto"/>
                <w:left w:val="none" w:sz="0" w:space="0" w:color="auto"/>
                <w:bottom w:val="none" w:sz="0" w:space="0" w:color="auto"/>
                <w:right w:val="none" w:sz="0" w:space="0" w:color="auto"/>
              </w:divBdr>
              <w:divsChild>
                <w:div w:id="2091004703">
                  <w:marLeft w:val="0"/>
                  <w:marRight w:val="0"/>
                  <w:marTop w:val="0"/>
                  <w:marBottom w:val="0"/>
                  <w:divBdr>
                    <w:top w:val="none" w:sz="0" w:space="0" w:color="auto"/>
                    <w:left w:val="none" w:sz="0" w:space="0" w:color="auto"/>
                    <w:bottom w:val="none" w:sz="0" w:space="0" w:color="auto"/>
                    <w:right w:val="none" w:sz="0" w:space="0" w:color="auto"/>
                  </w:divBdr>
                  <w:divsChild>
                    <w:div w:id="1264218970">
                      <w:marLeft w:val="0"/>
                      <w:marRight w:val="0"/>
                      <w:marTop w:val="0"/>
                      <w:marBottom w:val="0"/>
                      <w:divBdr>
                        <w:top w:val="none" w:sz="0" w:space="0" w:color="auto"/>
                        <w:left w:val="none" w:sz="0" w:space="0" w:color="auto"/>
                        <w:bottom w:val="none" w:sz="0" w:space="0" w:color="auto"/>
                        <w:right w:val="none" w:sz="0" w:space="0" w:color="auto"/>
                      </w:divBdr>
                      <w:divsChild>
                        <w:div w:id="852261698">
                          <w:marLeft w:val="0"/>
                          <w:marRight w:val="0"/>
                          <w:marTop w:val="0"/>
                          <w:marBottom w:val="0"/>
                          <w:divBdr>
                            <w:top w:val="none" w:sz="0" w:space="0" w:color="auto"/>
                            <w:left w:val="none" w:sz="0" w:space="0" w:color="auto"/>
                            <w:bottom w:val="none" w:sz="0" w:space="0" w:color="auto"/>
                            <w:right w:val="none" w:sz="0" w:space="0" w:color="auto"/>
                          </w:divBdr>
                          <w:divsChild>
                            <w:div w:id="14201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166099">
      <w:bodyDiv w:val="1"/>
      <w:marLeft w:val="0"/>
      <w:marRight w:val="0"/>
      <w:marTop w:val="0"/>
      <w:marBottom w:val="0"/>
      <w:divBdr>
        <w:top w:val="none" w:sz="0" w:space="0" w:color="auto"/>
        <w:left w:val="none" w:sz="0" w:space="0" w:color="auto"/>
        <w:bottom w:val="none" w:sz="0" w:space="0" w:color="auto"/>
        <w:right w:val="none" w:sz="0" w:space="0" w:color="auto"/>
      </w:divBdr>
    </w:div>
    <w:div w:id="1546135069">
      <w:bodyDiv w:val="1"/>
      <w:marLeft w:val="0"/>
      <w:marRight w:val="0"/>
      <w:marTop w:val="0"/>
      <w:marBottom w:val="0"/>
      <w:divBdr>
        <w:top w:val="none" w:sz="0" w:space="0" w:color="auto"/>
        <w:left w:val="none" w:sz="0" w:space="0" w:color="auto"/>
        <w:bottom w:val="none" w:sz="0" w:space="0" w:color="auto"/>
        <w:right w:val="none" w:sz="0" w:space="0" w:color="auto"/>
      </w:divBdr>
    </w:div>
    <w:div w:id="196064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EUinTajikistan" TargetMode="External"/><Relationship Id="rId18"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instagram.com/euintajikistan/"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eas.europa.eu/DELEGATIONS/TAJIKISTAN/INDEX_EN.HTM" TargetMode="External"/><Relationship Id="rId5" Type="http://schemas.openxmlformats.org/officeDocument/2006/relationships/styles" Target="styles.xml"/><Relationship Id="rId15" Type="http://schemas.openxmlformats.org/officeDocument/2006/relationships/hyperlink" Target="https://www.facebook.com/EUinTajikistan" TargetMode="External"/><Relationship Id="rId10" Type="http://schemas.openxmlformats.org/officeDocument/2006/relationships/hyperlink" Target="mailto:Delegation-Tajikistan-Pic@eeas.europa.e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29C3F028E9F049A3E7F89F5B3C2A2E" ma:contentTypeVersion="14" ma:contentTypeDescription="Create a new document." ma:contentTypeScope="" ma:versionID="f87ba78d01971a59fbeeff46d3bb6d4f">
  <xsd:schema xmlns:xsd="http://www.w3.org/2001/XMLSchema" xmlns:xs="http://www.w3.org/2001/XMLSchema" xmlns:p="http://schemas.microsoft.com/office/2006/metadata/properties" xmlns:ns2="ea97f49f-4f7d-445a-be01-964140515123" xmlns:ns3="b764d812-51cc-4ea2-8a1a-6be49144b2cc" targetNamespace="http://schemas.microsoft.com/office/2006/metadata/properties" ma:root="true" ma:fieldsID="813b0c1cf0342e821be792aebb8b4754" ns2:_="" ns3:_="">
    <xsd:import namespace="ea97f49f-4f7d-445a-be01-964140515123"/>
    <xsd:import namespace="b764d812-51cc-4ea2-8a1a-6be49144b2c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7f49f-4f7d-445a-be01-96414051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64d812-51cc-4ea2-8a1a-6be49144b2c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e116c3-2acf-4839-90e1-7e9e19c9842f}" ma:internalName="TaxCatchAll" ma:showField="CatchAllData" ma:web="b764d812-51cc-4ea2-8a1a-6be49144b2c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64d812-51cc-4ea2-8a1a-6be49144b2cc"/>
    <lcf76f155ced4ddcb4097134ff3c332f xmlns="ea97f49f-4f7d-445a-be01-9641405151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CC21CA-1589-46E6-B528-EF7701286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7f49f-4f7d-445a-be01-964140515123"/>
    <ds:schemaRef ds:uri="b764d812-51cc-4ea2-8a1a-6be49144b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274F2-A592-4294-A90C-AF0540300C95}">
  <ds:schemaRefs>
    <ds:schemaRef ds:uri="http://schemas.microsoft.com/sharepoint/v3/contenttype/forms"/>
  </ds:schemaRefs>
</ds:datastoreItem>
</file>

<file path=customXml/itemProps3.xml><?xml version="1.0" encoding="utf-8"?>
<ds:datastoreItem xmlns:ds="http://schemas.openxmlformats.org/officeDocument/2006/customXml" ds:itemID="{98A9EFD1-E170-4060-B0F7-4111529BF367}">
  <ds:schemaRefs>
    <ds:schemaRef ds:uri="http://schemas.microsoft.com/office/2006/metadata/properties"/>
    <ds:schemaRef ds:uri="http://schemas.microsoft.com/office/infopath/2007/PartnerControls"/>
    <ds:schemaRef ds:uri="b764d812-51cc-4ea2-8a1a-6be49144b2cc"/>
    <ds:schemaRef ds:uri="ea97f49f-4f7d-445a-be01-96414051512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European Commission</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Mahbuba ABDULLAEVA</dc:creator>
  <cp:keywords/>
  <dc:description/>
  <cp:lastModifiedBy>ALIEVA, Firuza Samaridinovna</cp:lastModifiedBy>
  <cp:revision>8</cp:revision>
  <cp:lastPrinted>2011-10-14T06:51:00Z</cp:lastPrinted>
  <dcterms:created xsi:type="dcterms:W3CDTF">2025-02-06T05:59:00Z</dcterms:created>
  <dcterms:modified xsi:type="dcterms:W3CDTF">2025-02-06T06:30:00Z</dcterms:modified>
</cp:coreProperties>
</file>