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18" w:rsidRDefault="00B12818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</w:p>
    <w:p w:rsidR="00B12818" w:rsidRDefault="00B12818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</w:p>
    <w:p w:rsidR="00AB2A8A" w:rsidRDefault="00AB2A8A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</w:p>
    <w:p w:rsidR="00AB2A8A" w:rsidRDefault="00AB2A8A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</w:p>
    <w:p w:rsidR="00B12818" w:rsidRDefault="001C4874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  <w:r>
        <w:rPr>
          <w:rStyle w:val="Strong"/>
          <w:color w:val="0E101A"/>
          <w:lang w:val="ru-RU"/>
        </w:rPr>
        <w:t>ФАО укрепляет региональное</w:t>
      </w:r>
      <w:r w:rsidR="00B12818" w:rsidRPr="0046371D">
        <w:rPr>
          <w:rStyle w:val="Strong"/>
          <w:color w:val="0E101A"/>
          <w:lang w:val="ru-RU"/>
        </w:rPr>
        <w:t xml:space="preserve"> сотрудничеств</w:t>
      </w:r>
      <w:r w:rsidR="00CC3A6C">
        <w:rPr>
          <w:rStyle w:val="Strong"/>
          <w:color w:val="0E101A"/>
          <w:lang w:val="ru-RU"/>
        </w:rPr>
        <w:t>о</w:t>
      </w:r>
      <w:r w:rsidR="00B12818" w:rsidRPr="0046371D">
        <w:rPr>
          <w:rStyle w:val="Strong"/>
          <w:color w:val="0E101A"/>
          <w:lang w:val="ru-RU"/>
        </w:rPr>
        <w:t xml:space="preserve"> для более эффективной борьбы с саранчой</w:t>
      </w:r>
    </w:p>
    <w:p w:rsidR="009202BC" w:rsidRDefault="009202BC" w:rsidP="00B12818">
      <w:pPr>
        <w:pStyle w:val="NormalWeb"/>
        <w:spacing w:before="0" w:beforeAutospacing="0" w:after="0" w:afterAutospacing="0"/>
        <w:rPr>
          <w:rStyle w:val="Strong"/>
          <w:color w:val="0E101A"/>
          <w:lang w:val="ru-RU"/>
        </w:rPr>
      </w:pPr>
    </w:p>
    <w:p w:rsidR="009202BC" w:rsidRPr="006B37C6" w:rsidRDefault="009202BC" w:rsidP="009202BC">
      <w:pPr>
        <w:pStyle w:val="NormalWeb"/>
        <w:spacing w:before="0" w:beforeAutospacing="0" w:after="0" w:afterAutospacing="0"/>
        <w:rPr>
          <w:rStyle w:val="Strong"/>
          <w:color w:val="0E101A"/>
        </w:rPr>
      </w:pPr>
      <w:r w:rsidRPr="00AF3119">
        <w:rPr>
          <w:rStyle w:val="Strong"/>
          <w:noProof/>
          <w:color w:val="0E101A"/>
        </w:rPr>
        <w:drawing>
          <wp:inline distT="0" distB="0" distL="0" distR="0" wp14:anchorId="6D02103D" wp14:editId="0335DDBD">
            <wp:extent cx="4883847" cy="2747763"/>
            <wp:effectExtent l="0" t="0" r="0" b="0"/>
            <wp:docPr id="2" name="Picture 2" descr="D:\FAO events Photos\2022\Locust workshop\published for twitter\t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O events Photos\2022\Locust workshop\published for twitter\tw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922" cy="275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18" w:rsidRDefault="009202BC" w:rsidP="00B12818">
      <w:pPr>
        <w:pStyle w:val="NormalWeb"/>
        <w:spacing w:before="0" w:beforeAutospacing="0" w:after="0" w:afterAutospacing="0"/>
        <w:rPr>
          <w:sz w:val="18"/>
          <w:lang w:val="ru-RU"/>
        </w:rPr>
      </w:pPr>
      <w:r w:rsidRPr="009202BC">
        <w:rPr>
          <w:sz w:val="18"/>
          <w:lang w:val="ru-RU"/>
        </w:rPr>
        <w:t>©</w:t>
      </w:r>
      <w:r w:rsidRPr="007D2ED3">
        <w:rPr>
          <w:sz w:val="18"/>
        </w:rPr>
        <w:t>FAO</w:t>
      </w:r>
      <w:r w:rsidRPr="009202BC">
        <w:rPr>
          <w:sz w:val="18"/>
          <w:lang w:val="ru-RU"/>
        </w:rPr>
        <w:t>/</w:t>
      </w:r>
      <w:r w:rsidR="00316965">
        <w:rPr>
          <w:sz w:val="18"/>
          <w:lang w:val="ru-RU"/>
        </w:rPr>
        <w:t>Аниса Абибуллоева</w:t>
      </w:r>
    </w:p>
    <w:p w:rsidR="00316965" w:rsidRPr="009202BC" w:rsidRDefault="00316965" w:rsidP="00B12818">
      <w:pPr>
        <w:pStyle w:val="NormalWeb"/>
        <w:spacing w:before="0" w:beforeAutospacing="0" w:after="0" w:afterAutospacing="0"/>
        <w:rPr>
          <w:b/>
          <w:bCs/>
          <w:color w:val="0E101A"/>
          <w:lang w:val="ru-RU"/>
        </w:rPr>
      </w:pPr>
    </w:p>
    <w:p w:rsidR="00B12818" w:rsidRPr="00386620" w:rsidRDefault="00B12818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21-24 </w:t>
      </w:r>
      <w:r w:rsidRPr="00647F3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ноября 2022 г., Душанбе</w:t>
      </w:r>
      <w:r w:rsidRPr="00647F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Продовольственной и сельскохозяйственной организацией Объединенных Наций (ФАО) в тесном сотрудничестве с Министерством сельского хозяйства Республики Таджикистан провели </w:t>
      </w:r>
      <w:hyperlink r:id="rId5" w:history="1">
        <w:r w:rsidRPr="00647F3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Технический семинар по саранчовым </w:t>
        </w:r>
        <w:r w:rsidRPr="00647F3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на Кавказе и в Центральной Азии</w:t>
        </w:r>
      </w:hyperlink>
      <w:r w:rsidRPr="00647F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Cеминар организован </w:t>
      </w:r>
      <w:r w:rsidR="00D257A6">
        <w:rPr>
          <w:rFonts w:ascii="Times New Roman" w:eastAsia="Times New Roman" w:hAnsi="Times New Roman" w:cs="Times New Roman"/>
          <w:sz w:val="24"/>
          <w:szCs w:val="24"/>
          <w:lang w:val="ru-RU"/>
        </w:rPr>
        <w:t>при финансовой поддержке</w:t>
      </w:r>
      <w:r w:rsidRPr="00647F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hyperlink r:id="rId6" w:history="1">
        <w:r w:rsidRPr="007179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Проекта по улучшению борьбы с саранчовыми (Фаза 2)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</w:t>
      </w:r>
      <w:r w:rsidR="00D257A6" w:rsidRPr="00D25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содействии </w:t>
      </w:r>
      <w:r w:rsidR="00D257A6">
        <w:rPr>
          <w:rFonts w:ascii="Times New Roman" w:eastAsia="Times New Roman" w:hAnsi="Times New Roman" w:cs="Times New Roman"/>
          <w:sz w:val="24"/>
          <w:szCs w:val="24"/>
          <w:lang w:val="ru-RU"/>
        </w:rPr>
        <w:t>Японского агентства</w:t>
      </w:r>
      <w:r w:rsidRPr="00647F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международного сотрудничества (</w:t>
      </w:r>
      <w:r w:rsidRPr="00647F3E">
        <w:rPr>
          <w:rFonts w:ascii="Times New Roman" w:eastAsia="Times New Roman" w:hAnsi="Times New Roman" w:cs="Times New Roman"/>
          <w:sz w:val="24"/>
          <w:szCs w:val="24"/>
        </w:rPr>
        <w:t>JICA</w:t>
      </w:r>
      <w:r w:rsidR="00D257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D257A6" w:rsidRPr="00D257A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«Программы по улучшению национальной и региональной борьбы с саранчой на Кавказе и в Средней Азии».</w:t>
      </w:r>
    </w:p>
    <w:p w:rsidR="00B12818" w:rsidRPr="00AC2FA0" w:rsidRDefault="00B12818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2E">
        <w:rPr>
          <w:rFonts w:ascii="Times New Roman" w:hAnsi="Times New Roman" w:cs="Times New Roman"/>
          <w:sz w:val="24"/>
          <w:szCs w:val="24"/>
          <w:lang w:val="ru-RU"/>
        </w:rPr>
        <w:t>Целью мероприятия явля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ется </w:t>
      </w:r>
      <w:r w:rsidRPr="00C77B2E">
        <w:rPr>
          <w:rFonts w:ascii="Times New Roman" w:hAnsi="Times New Roman" w:cs="Times New Roman"/>
          <w:sz w:val="24"/>
          <w:szCs w:val="24"/>
          <w:lang w:val="ru-RU"/>
        </w:rPr>
        <w:t>укрепление регионального сотрудничества, обмен опытом, знаниями и уроками, извлечёнными из кампаний по борьбе с саранчой. На семинаре также были рассмотрены передовые подходы для улучшения потенциала и готовности стран к борьбе с саранчой и снижению риска вспышек саранчи.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2818" w:rsidRDefault="00AB2A8A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5C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34573A" wp14:editId="2A0323AA">
            <wp:simplePos x="0" y="0"/>
            <wp:positionH relativeFrom="margin">
              <wp:align>left</wp:align>
            </wp:positionH>
            <wp:positionV relativeFrom="margin">
              <wp:posOffset>7865110</wp:posOffset>
            </wp:positionV>
            <wp:extent cx="4354195" cy="2449830"/>
            <wp:effectExtent l="0" t="0" r="8255" b="7620"/>
            <wp:wrapTopAndBottom/>
            <wp:docPr id="5" name="Picture 5" descr="D:\FAO events Photos\2022\Locust workshop\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AO events Photos\2022\Locust workshop\edi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818" w:rsidRPr="00C77B2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12818">
        <w:rPr>
          <w:rFonts w:ascii="Times New Roman" w:hAnsi="Times New Roman" w:cs="Times New Roman"/>
          <w:sz w:val="24"/>
          <w:szCs w:val="24"/>
          <w:lang w:val="ru-RU"/>
        </w:rPr>
        <w:t xml:space="preserve">семинаре </w:t>
      </w:r>
      <w:r w:rsidR="00B12818" w:rsidRPr="00C77B2E"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делегаты из Армении, Азербайджана, Грузии, Казахстана, Кыргызстана, Российской Федерации, Таджикистана, Туркменистана и Узбекистана, а также эксперты ФАО. Таджикистан уже в третий раз принимает столь </w:t>
      </w:r>
      <w:r w:rsidR="00B12818">
        <w:rPr>
          <w:rFonts w:ascii="Times New Roman" w:hAnsi="Times New Roman" w:cs="Times New Roman"/>
          <w:sz w:val="24"/>
          <w:szCs w:val="24"/>
          <w:lang w:val="ru-RU"/>
        </w:rPr>
        <w:t>значимый</w:t>
      </w:r>
      <w:r w:rsidR="00B12818" w:rsidRPr="00C77B2E">
        <w:rPr>
          <w:rFonts w:ascii="Times New Roman" w:hAnsi="Times New Roman" w:cs="Times New Roman"/>
          <w:sz w:val="24"/>
          <w:szCs w:val="24"/>
          <w:lang w:val="ru-RU"/>
        </w:rPr>
        <w:t xml:space="preserve"> семинар, но впервые после двух лет глобальной пандемии </w:t>
      </w:r>
      <w:r w:rsidR="00B12818" w:rsidRPr="006B37C6">
        <w:rPr>
          <w:rFonts w:ascii="Times New Roman" w:hAnsi="Times New Roman" w:cs="Times New Roman"/>
          <w:sz w:val="24"/>
          <w:szCs w:val="24"/>
        </w:rPr>
        <w:t>COVID</w:t>
      </w:r>
      <w:r w:rsidR="00B12818" w:rsidRPr="00C77B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02BC" w:rsidRPr="009202BC" w:rsidRDefault="009202BC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2BC">
        <w:rPr>
          <w:rFonts w:ascii="Times New Roman" w:hAnsi="Times New Roman" w:cs="Times New Roman"/>
          <w:sz w:val="18"/>
          <w:lang w:val="ru-RU"/>
        </w:rPr>
        <w:t>©</w:t>
      </w:r>
      <w:r w:rsidRPr="009202BC">
        <w:rPr>
          <w:rFonts w:ascii="Times New Roman" w:hAnsi="Times New Roman" w:cs="Times New Roman"/>
          <w:sz w:val="18"/>
        </w:rPr>
        <w:t>FAO</w:t>
      </w:r>
      <w:r w:rsidRPr="009202BC">
        <w:rPr>
          <w:rFonts w:ascii="Times New Roman" w:hAnsi="Times New Roman" w:cs="Times New Roman"/>
          <w:sz w:val="18"/>
          <w:lang w:val="ru-RU"/>
        </w:rPr>
        <w:t>/</w:t>
      </w:r>
      <w:r w:rsidR="00316965">
        <w:rPr>
          <w:rFonts w:ascii="Times New Roman" w:hAnsi="Times New Roman" w:cs="Times New Roman"/>
          <w:sz w:val="18"/>
          <w:lang w:val="ru-RU"/>
        </w:rPr>
        <w:t>Аниса Абибуллоева</w:t>
      </w:r>
    </w:p>
    <w:p w:rsidR="009202BC" w:rsidRDefault="009202BC" w:rsidP="00B1281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12818" w:rsidRDefault="00B12818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7B2E">
        <w:rPr>
          <w:rFonts w:ascii="Times New Roman" w:hAnsi="Times New Roman" w:cs="Times New Roman"/>
          <w:sz w:val="24"/>
          <w:szCs w:val="24"/>
          <w:lang w:val="ru-RU"/>
        </w:rPr>
        <w:t>В ходе сессий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7B2E">
        <w:rPr>
          <w:rFonts w:ascii="Times New Roman" w:hAnsi="Times New Roman" w:cs="Times New Roman"/>
          <w:sz w:val="24"/>
          <w:szCs w:val="24"/>
          <w:lang w:val="ru-RU"/>
        </w:rPr>
        <w:t xml:space="preserve"> участники обсудили итоги национальных противосаранчовых кампаний 2022 года, подготовку </w:t>
      </w:r>
      <w:r>
        <w:rPr>
          <w:rFonts w:ascii="Times New Roman" w:hAnsi="Times New Roman" w:cs="Times New Roman"/>
          <w:sz w:val="24"/>
          <w:szCs w:val="24"/>
          <w:lang w:val="ru-RU"/>
        </w:rPr>
        <w:t>дальнейших кампаний</w:t>
      </w:r>
      <w:r w:rsidRPr="00C77B2E">
        <w:rPr>
          <w:rFonts w:ascii="Times New Roman" w:hAnsi="Times New Roman" w:cs="Times New Roman"/>
          <w:sz w:val="24"/>
          <w:szCs w:val="24"/>
          <w:lang w:val="ru-RU"/>
        </w:rPr>
        <w:t xml:space="preserve">, а также реализацию Программы в 2022 году и план работы на 2023 год.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Семинар также включал тренинги по саранчовому мониторингу и управлению под названием </w:t>
      </w:r>
      <w:r>
        <w:rPr>
          <w:rFonts w:ascii="Times New Roman" w:hAnsi="Times New Roman" w:cs="Times New Roman"/>
          <w:sz w:val="24"/>
          <w:szCs w:val="24"/>
        </w:rPr>
        <w:t>CCALM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снижению риска, связанного с обработками по борьбе с саранчой, в том числе и </w:t>
      </w:r>
      <w:r w:rsidRPr="007C7795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биопестицидов и инновационных подходов, таких как использование дронов</w:t>
      </w:r>
      <w:r w:rsidRPr="007C77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7A6" w:rsidRDefault="00D257A6" w:rsidP="00D257A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5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5A88F1" wp14:editId="48447319">
            <wp:extent cx="4396548" cy="2746730"/>
            <wp:effectExtent l="0" t="0" r="4445" b="0"/>
            <wp:docPr id="6" name="Picture 6" descr="D:\FAO events Photos\2022\Locust workshop\IMG_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AO events Photos\2022\Locust workshop\IMG_49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8"/>
                    <a:stretch/>
                  </pic:blipFill>
                  <pic:spPr bwMode="auto">
                    <a:xfrm>
                      <a:off x="0" y="0"/>
                      <a:ext cx="4408073" cy="27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7A6" w:rsidRPr="00D257A6" w:rsidRDefault="00D257A6" w:rsidP="00B128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3904">
        <w:rPr>
          <w:rFonts w:ascii="Times New Roman" w:hAnsi="Times New Roman" w:cs="Times New Roman"/>
          <w:sz w:val="18"/>
          <w:szCs w:val="24"/>
          <w:lang w:val="ru-RU"/>
        </w:rPr>
        <w:t>©</w:t>
      </w:r>
      <w:r>
        <w:rPr>
          <w:rFonts w:ascii="Times New Roman" w:hAnsi="Times New Roman" w:cs="Times New Roman"/>
          <w:sz w:val="18"/>
          <w:szCs w:val="24"/>
          <w:lang w:val="ru-RU"/>
        </w:rPr>
        <w:t>FAO</w:t>
      </w:r>
      <w:r>
        <w:rPr>
          <w:rFonts w:ascii="Times New Roman" w:hAnsi="Times New Roman" w:cs="Times New Roman"/>
          <w:sz w:val="18"/>
          <w:lang w:val="ru-RU"/>
        </w:rPr>
        <w:t>/Аниса Абибуллоева</w:t>
      </w:r>
      <w:r w:rsidRPr="00D257A6">
        <w:rPr>
          <w:rFonts w:ascii="Times New Roman" w:hAnsi="Times New Roman" w:cs="Times New Roman"/>
          <w:sz w:val="18"/>
          <w:lang w:val="ru-RU"/>
        </w:rPr>
        <w:t>.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 xml:space="preserve"> Шоки Аль Доб</w:t>
      </w:r>
      <w:r>
        <w:rPr>
          <w:rFonts w:ascii="Times New Roman" w:hAnsi="Times New Roman" w:cs="Times New Roman"/>
          <w:sz w:val="18"/>
          <w:szCs w:val="24"/>
          <w:lang w:val="ru-RU"/>
        </w:rPr>
        <w:t>а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 xml:space="preserve">й, </w:t>
      </w:r>
      <w:r>
        <w:rPr>
          <w:rFonts w:ascii="Times New Roman" w:hAnsi="Times New Roman" w:cs="Times New Roman"/>
          <w:sz w:val="18"/>
          <w:szCs w:val="24"/>
          <w:lang w:val="ru-RU"/>
        </w:rPr>
        <w:t xml:space="preserve">руководитель группы по борьбе с саранчовыми, 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>трансграничным</w:t>
      </w:r>
      <w:r>
        <w:rPr>
          <w:rFonts w:ascii="Times New Roman" w:hAnsi="Times New Roman" w:cs="Times New Roman"/>
          <w:sz w:val="18"/>
          <w:szCs w:val="24"/>
          <w:lang w:val="ru-RU"/>
        </w:rPr>
        <w:t>и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 xml:space="preserve"> вредителям</w:t>
      </w:r>
      <w:r>
        <w:rPr>
          <w:rFonts w:ascii="Times New Roman" w:hAnsi="Times New Roman" w:cs="Times New Roman"/>
          <w:sz w:val="18"/>
          <w:szCs w:val="24"/>
          <w:lang w:val="ru-RU"/>
        </w:rPr>
        <w:t>и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 xml:space="preserve"> и болезням</w:t>
      </w:r>
      <w:r>
        <w:rPr>
          <w:rFonts w:ascii="Times New Roman" w:hAnsi="Times New Roman" w:cs="Times New Roman"/>
          <w:sz w:val="18"/>
          <w:szCs w:val="24"/>
          <w:lang w:val="ru-RU"/>
        </w:rPr>
        <w:t>и</w:t>
      </w:r>
      <w:r w:rsidRPr="00E43904">
        <w:rPr>
          <w:rFonts w:ascii="Times New Roman" w:hAnsi="Times New Roman" w:cs="Times New Roman"/>
          <w:sz w:val="18"/>
          <w:szCs w:val="24"/>
          <w:lang w:val="ru-RU"/>
        </w:rPr>
        <w:t xml:space="preserve"> растений</w:t>
      </w:r>
    </w:p>
    <w:p w:rsidR="00B12818" w:rsidRDefault="00B12818" w:rsidP="00B12818">
      <w:pPr>
        <w:pStyle w:val="NormalWeb"/>
        <w:spacing w:before="0" w:beforeAutospacing="0" w:after="0" w:afterAutospacing="0"/>
        <w:rPr>
          <w:i/>
          <w:color w:val="0E101A"/>
          <w:lang w:val="ru-RU"/>
        </w:rPr>
      </w:pPr>
      <w:r w:rsidRPr="00C77B2E">
        <w:rPr>
          <w:i/>
          <w:color w:val="0E101A"/>
          <w:lang w:val="ru-RU"/>
        </w:rPr>
        <w:t xml:space="preserve">«Важно отметить, что ФАО добилась значительного прогресса во внедрении и продвижении передовых и инновационных технологий для борьбы с саранчой. Настало время предпринять серьезные шаги для перехода от традиционных способов борьбы с саранчой к более передовым, экологически безопасным и устойчивым, — </w:t>
      </w:r>
      <w:r>
        <w:rPr>
          <w:color w:val="0E101A"/>
          <w:lang w:val="ru-RU"/>
        </w:rPr>
        <w:t>сказал Шоки Ал-Добай</w:t>
      </w:r>
      <w:r w:rsidRPr="00C77B2E">
        <w:rPr>
          <w:i/>
          <w:color w:val="0E101A"/>
          <w:lang w:val="ru-RU"/>
        </w:rPr>
        <w:t xml:space="preserve">, </w:t>
      </w:r>
      <w:r>
        <w:rPr>
          <w:color w:val="0E101A"/>
          <w:lang w:val="ru-RU"/>
        </w:rPr>
        <w:t xml:space="preserve">руководитель группы по борьбе с саранчовыми и </w:t>
      </w:r>
      <w:r w:rsidRPr="00C77B2E">
        <w:rPr>
          <w:color w:val="0E101A"/>
          <w:lang w:val="ru-RU"/>
        </w:rPr>
        <w:t>трансграничным</w:t>
      </w:r>
      <w:r>
        <w:rPr>
          <w:color w:val="0E101A"/>
          <w:lang w:val="ru-RU"/>
        </w:rPr>
        <w:t>и</w:t>
      </w:r>
      <w:r w:rsidRPr="00C77B2E">
        <w:rPr>
          <w:color w:val="0E101A"/>
          <w:lang w:val="ru-RU"/>
        </w:rPr>
        <w:t xml:space="preserve"> вредителям</w:t>
      </w:r>
      <w:r>
        <w:rPr>
          <w:color w:val="0E101A"/>
          <w:lang w:val="ru-RU"/>
        </w:rPr>
        <w:t>и</w:t>
      </w:r>
      <w:r w:rsidRPr="00C77B2E">
        <w:rPr>
          <w:color w:val="0E101A"/>
          <w:lang w:val="ru-RU"/>
        </w:rPr>
        <w:t xml:space="preserve"> и болезням</w:t>
      </w:r>
      <w:r>
        <w:rPr>
          <w:color w:val="0E101A"/>
          <w:lang w:val="ru-RU"/>
        </w:rPr>
        <w:t>и</w:t>
      </w:r>
      <w:r w:rsidRPr="00C77B2E">
        <w:rPr>
          <w:color w:val="0E101A"/>
          <w:lang w:val="ru-RU"/>
        </w:rPr>
        <w:t xml:space="preserve"> растени</w:t>
      </w:r>
      <w:r>
        <w:rPr>
          <w:color w:val="0E101A"/>
          <w:lang w:val="ru-RU"/>
        </w:rPr>
        <w:t>й</w:t>
      </w:r>
      <w:r w:rsidRPr="00C77B2E">
        <w:rPr>
          <w:i/>
          <w:color w:val="0E101A"/>
          <w:lang w:val="ru-RU"/>
        </w:rPr>
        <w:t>.</w:t>
      </w:r>
      <w:r>
        <w:rPr>
          <w:i/>
          <w:color w:val="0E101A"/>
          <w:lang w:val="ru-RU"/>
        </w:rPr>
        <w:t xml:space="preserve"> </w:t>
      </w:r>
      <w:r w:rsidRPr="002E4968">
        <w:rPr>
          <w:color w:val="0E101A"/>
          <w:lang w:val="ru-RU"/>
        </w:rPr>
        <w:t>Он добавил</w:t>
      </w:r>
      <w:r>
        <w:rPr>
          <w:color w:val="0E101A"/>
          <w:lang w:val="ru-RU"/>
        </w:rPr>
        <w:t xml:space="preserve"> </w:t>
      </w:r>
      <w:r w:rsidRPr="002E4968">
        <w:rPr>
          <w:i/>
          <w:color w:val="0E101A"/>
          <w:lang w:val="ru-RU"/>
        </w:rPr>
        <w:t xml:space="preserve">«…устойчивая борьба с трансграничными вредителями, такими как саранча, может быть достигнута только при эффективном региональном сотрудничестве, </w:t>
      </w:r>
      <w:r>
        <w:rPr>
          <w:i/>
          <w:color w:val="0E101A"/>
          <w:lang w:val="ru-RU"/>
        </w:rPr>
        <w:t>в связи с чем предполагается</w:t>
      </w:r>
      <w:r w:rsidRPr="002E4968">
        <w:rPr>
          <w:i/>
          <w:color w:val="0E101A"/>
          <w:lang w:val="ru-RU"/>
        </w:rPr>
        <w:t>, что будут предприняты дальнейшие шаги по созданию постоянного координационного органа</w:t>
      </w:r>
      <w:r>
        <w:rPr>
          <w:i/>
          <w:color w:val="0E101A"/>
          <w:lang w:val="ru-RU"/>
        </w:rPr>
        <w:t xml:space="preserve"> по борьбе с саранчовыми</w:t>
      </w:r>
      <w:r w:rsidRPr="002E4968">
        <w:rPr>
          <w:i/>
          <w:color w:val="0E101A"/>
          <w:lang w:val="ru-RU"/>
        </w:rPr>
        <w:t>».</w:t>
      </w:r>
    </w:p>
    <w:p w:rsidR="00B12818" w:rsidRPr="004011ED" w:rsidRDefault="00B12818" w:rsidP="00B12818">
      <w:pPr>
        <w:pStyle w:val="NormalWeb"/>
        <w:spacing w:before="0" w:beforeAutospacing="0" w:after="0" w:afterAutospacing="0"/>
        <w:rPr>
          <w:color w:val="0E101A"/>
          <w:lang w:val="ru-RU"/>
        </w:rPr>
      </w:pPr>
    </w:p>
    <w:p w:rsidR="00B12818" w:rsidRPr="004011ED" w:rsidRDefault="00B12818" w:rsidP="00B128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011ED">
        <w:rPr>
          <w:rFonts w:ascii="Times New Roman" w:hAnsi="Times New Roman" w:cs="Times New Roman"/>
          <w:sz w:val="24"/>
          <w:szCs w:val="24"/>
          <w:lang w:val="ru-RU"/>
        </w:rPr>
        <w:t>Саранча действительно представляет серьёзную угрозу сельскому хозяйству на Кавказе и в Центральной Азии на площади более 25 миллионов гектаров. Саранча – мигрирующие вредители. Во время вспышек саранча поражает все сельскохозяйственные культуры и растения, подвергая риску не менее 20 миллионов человек в регионе.</w:t>
      </w:r>
    </w:p>
    <w:p w:rsidR="00B12818" w:rsidRPr="00AB2A8A" w:rsidRDefault="00B12818" w:rsidP="0031696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«Данное</w:t>
      </w:r>
      <w:r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 мероприятие отражает работу первостепенной важности для обеспечения продовольственной безопасности на региональном уровне. Оно отражает приверженность правительств и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поддержку </w:t>
      </w:r>
      <w:r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донорских организаций», — </w:t>
      </w:r>
      <w:r w:rsidRPr="00C77B2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 xml:space="preserve">сказал Олег Гучгельдиев, Представитель ФАО в Таджикистане.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«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В Таджикистане нам всё ещё </w:t>
      </w:r>
      <w:r w:rsidR="00FC518C"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необходимо разработать механизм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, который вовлечёт широкое участие</w:t>
      </w:r>
      <w:r w:rsidR="00FC518C"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 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всех заинтересованных сторон</w:t>
      </w:r>
      <w:r w:rsidR="00FC518C"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 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для создания эффективной системы для </w:t>
      </w:r>
      <w:r w:rsidR="00FC518C" w:rsidRPr="00B35AC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борьбы с саранчовыми.</w:t>
      </w:r>
      <w:r w:rsidR="00FC518C"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Это также включает более устойчивый механизм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 финансирования, который </w:t>
      </w:r>
      <w:r w:rsidR="00FC518C"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 xml:space="preserve">будет функционировать, не полагаясь </w:t>
      </w:r>
      <w:r w:rsidR="00FC518C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на внешнюю поддержку</w:t>
      </w:r>
      <w:r w:rsidRPr="00C77B2E">
        <w:rPr>
          <w:rFonts w:ascii="Times New Roman" w:eastAsia="Times New Roman" w:hAnsi="Times New Roman" w:cs="Times New Roman"/>
          <w:i/>
          <w:color w:val="0E101A"/>
          <w:sz w:val="24"/>
          <w:szCs w:val="24"/>
          <w:lang w:val="ru-RU"/>
        </w:rPr>
        <w:t>».</w:t>
      </w:r>
    </w:p>
    <w:p w:rsidR="00B12818" w:rsidRPr="00647F3E" w:rsidRDefault="00B12818" w:rsidP="00B12818">
      <w:pP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</w:pP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«Проект по улучшению борьбы с саранчой (Фаза 2)» (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</w:rPr>
        <w:t>GCP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/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</w:rPr>
        <w:t>INT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/384/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</w:rPr>
        <w:t>JCA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) был одобрен в 2020 году Правительством Японии и Японским агентством международного сотрудничества (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</w:rPr>
        <w:t>JICA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) в интересах шести стран Центральной Азии, а именно Афганистан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, Казахстан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, Кыргызстан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, Таджикистан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, Туркменистан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 xml:space="preserve"> и Узбекистан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а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 xml:space="preserve">Данный 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пятилетний проект с бюджетом 7,5 миллионов долларов США является частью</w:t>
      </w:r>
      <w:r w:rsidR="00CC3A6C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 xml:space="preserve"> </w:t>
      </w:r>
      <w:bookmarkStart w:id="0" w:name="_GoBack"/>
      <w:bookmarkEnd w:id="0"/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lastRenderedPageBreak/>
        <w:t>«Программы по улучшению национальной и региональной борьбы с саранчой на Кавказе и в Цен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тральной Азии (КЦА)», реализуемы</w:t>
      </w:r>
      <w:r w:rsidRPr="00647F3E">
        <w:rPr>
          <w:rFonts w:ascii="Times New Roman" w:eastAsia="Times New Roman" w:hAnsi="Times New Roman" w:cs="Times New Roman"/>
          <w:color w:val="0E101A"/>
          <w:sz w:val="24"/>
          <w:szCs w:val="24"/>
          <w:lang w:val="ru-RU"/>
        </w:rPr>
        <w:t>й ФАО с 2011 года.</w:t>
      </w:r>
    </w:p>
    <w:p w:rsidR="004B5220" w:rsidRPr="00B12818" w:rsidRDefault="00CC3A6C" w:rsidP="00B12818">
      <w:pPr>
        <w:rPr>
          <w:lang w:val="ru-RU"/>
        </w:rPr>
      </w:pPr>
    </w:p>
    <w:sectPr w:rsidR="004B5220" w:rsidRPr="00B12818" w:rsidSect="00386620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18"/>
    <w:rsid w:val="001C4874"/>
    <w:rsid w:val="00316965"/>
    <w:rsid w:val="00323B8B"/>
    <w:rsid w:val="00505138"/>
    <w:rsid w:val="00656ABB"/>
    <w:rsid w:val="00793AB0"/>
    <w:rsid w:val="009202BC"/>
    <w:rsid w:val="009D3106"/>
    <w:rsid w:val="00AB2A8A"/>
    <w:rsid w:val="00B12818"/>
    <w:rsid w:val="00CC3A6C"/>
    <w:rsid w:val="00D257A6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026F"/>
  <w15:chartTrackingRefBased/>
  <w15:docId w15:val="{C544BB68-A707-42FE-9025-E907E554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1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818"/>
    <w:rPr>
      <w:b/>
      <w:bCs/>
    </w:rPr>
  </w:style>
  <w:style w:type="character" w:styleId="Hyperlink">
    <w:name w:val="Hyperlink"/>
    <w:basedOn w:val="DefaultParagraphFont"/>
    <w:uiPriority w:val="99"/>
    <w:unhideWhenUsed/>
    <w:rsid w:val="00B12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3/cb6850en/cb6850en.pdf" TargetMode="External"/><Relationship Id="rId5" Type="http://schemas.openxmlformats.org/officeDocument/2006/relationships/hyperlink" Target="ca/activities/annual-workshops/tekhnicheskii-seminar-2022/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529</Words>
  <Characters>3607</Characters>
  <Application>Microsoft Office Word</Application>
  <DocSecurity>0</DocSecurity>
  <Lines>72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Abibulloeva, Anisa (FAOTJ)</dc:creator>
  <cp:keywords/>
  <dc:description/>
  <cp:lastModifiedBy>Abibulloeva, Anisa (FAOTJ)</cp:lastModifiedBy>
  <cp:revision>8</cp:revision>
  <dcterms:created xsi:type="dcterms:W3CDTF">2022-11-22T11:49:00Z</dcterms:created>
  <dcterms:modified xsi:type="dcterms:W3CDTF">2022-11-24T06:16:00Z</dcterms:modified>
</cp:coreProperties>
</file>