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EFD" w14:textId="29761DF4" w:rsidR="00033383" w:rsidRDefault="00033383" w:rsidP="00033383">
      <w:pPr>
        <w:pStyle w:val="Default"/>
        <w:jc w:val="right"/>
        <w:rPr>
          <w:rFonts w:asciiTheme="majorBidi" w:hAnsiTheme="majorBidi" w:cstheme="majorBidi"/>
          <w:lang w:val="ru-RU"/>
        </w:rPr>
      </w:pPr>
      <w:r w:rsidRPr="0003338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033383">
        <w:rPr>
          <w:rFonts w:asciiTheme="majorBidi" w:hAnsiTheme="majorBidi" w:cstheme="majorBidi"/>
          <w:b/>
          <w:bCs/>
          <w:lang w:val="ru-RU"/>
        </w:rPr>
        <w:t>17-18</w:t>
      </w:r>
      <w:proofErr w:type="gramEnd"/>
      <w:r w:rsidRPr="00033383">
        <w:rPr>
          <w:rFonts w:asciiTheme="majorBidi" w:hAnsiTheme="majorBidi" w:cstheme="majorBidi"/>
          <w:b/>
          <w:bCs/>
          <w:lang w:val="ru-RU"/>
        </w:rPr>
        <w:t xml:space="preserve"> </w:t>
      </w:r>
      <w:r w:rsidRPr="00033383">
        <w:rPr>
          <w:rFonts w:asciiTheme="majorBidi" w:hAnsiTheme="majorBidi" w:cstheme="majorBidi"/>
          <w:b/>
          <w:bCs/>
        </w:rPr>
        <w:t>May</w:t>
      </w:r>
      <w:r w:rsidRPr="00033383">
        <w:rPr>
          <w:rFonts w:asciiTheme="majorBidi" w:hAnsiTheme="majorBidi" w:cstheme="majorBidi"/>
          <w:b/>
          <w:bCs/>
          <w:lang w:val="ru-RU"/>
        </w:rPr>
        <w:t xml:space="preserve"> </w:t>
      </w:r>
      <w:r w:rsidRPr="00033383">
        <w:rPr>
          <w:rFonts w:asciiTheme="majorBidi" w:hAnsiTheme="majorBidi" w:cstheme="majorBidi"/>
          <w:lang w:val="ru-RU"/>
        </w:rPr>
        <w:t xml:space="preserve">2022 </w:t>
      </w:r>
    </w:p>
    <w:p w14:paraId="3367DDC0" w14:textId="77777777" w:rsidR="00033383" w:rsidRPr="00033383" w:rsidRDefault="00033383" w:rsidP="00033383">
      <w:pPr>
        <w:pStyle w:val="Default"/>
        <w:jc w:val="right"/>
        <w:rPr>
          <w:rFonts w:asciiTheme="majorBidi" w:hAnsiTheme="majorBidi" w:cstheme="majorBidi"/>
          <w:lang w:val="ru-RU"/>
        </w:rPr>
      </w:pPr>
    </w:p>
    <w:p w14:paraId="7447B764" w14:textId="15359329" w:rsidR="00033383" w:rsidRDefault="00033383" w:rsidP="00033383">
      <w:pPr>
        <w:pStyle w:val="Default"/>
        <w:jc w:val="center"/>
        <w:rPr>
          <w:rFonts w:asciiTheme="majorBidi" w:hAnsiTheme="majorBidi" w:cstheme="majorBidi"/>
          <w:b/>
          <w:bCs/>
          <w:lang w:val="ru-RU"/>
        </w:rPr>
      </w:pPr>
      <w:r w:rsidRPr="00033383">
        <w:rPr>
          <w:rFonts w:asciiTheme="majorBidi" w:hAnsiTheme="majorBidi" w:cstheme="majorBidi"/>
          <w:b/>
          <w:bCs/>
          <w:lang w:val="ru-RU"/>
        </w:rPr>
        <w:t>Проект, финансируемый Европейским Союзом, укрепляет устойчивость Душанбе</w:t>
      </w:r>
    </w:p>
    <w:p w14:paraId="435B3A33" w14:textId="77777777" w:rsidR="00033383" w:rsidRPr="00033383" w:rsidRDefault="00033383" w:rsidP="00033383">
      <w:pPr>
        <w:pStyle w:val="Default"/>
        <w:jc w:val="center"/>
        <w:rPr>
          <w:rFonts w:asciiTheme="majorBidi" w:hAnsiTheme="majorBidi" w:cstheme="majorBidi"/>
          <w:lang w:val="ru-RU"/>
        </w:rPr>
      </w:pPr>
    </w:p>
    <w:p w14:paraId="7E535C1A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ДУШАНБЕ, </w:t>
      </w:r>
      <w:proofErr w:type="gramStart"/>
      <w:r w:rsidRPr="00033383">
        <w:rPr>
          <w:rFonts w:asciiTheme="majorBidi" w:hAnsiTheme="majorBidi" w:cstheme="majorBidi"/>
          <w:b/>
          <w:bCs/>
          <w:sz w:val="24"/>
          <w:szCs w:val="24"/>
          <w:lang w:val="ru-RU"/>
        </w:rPr>
        <w:t>17-18</w:t>
      </w:r>
      <w:proofErr w:type="gramEnd"/>
      <w:r w:rsidRPr="0003338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033383">
        <w:rPr>
          <w:rFonts w:asciiTheme="majorBidi" w:hAnsiTheme="majorBidi" w:cstheme="majorBidi"/>
          <w:b/>
          <w:bCs/>
          <w:sz w:val="24"/>
          <w:szCs w:val="24"/>
        </w:rPr>
        <w:t>May</w:t>
      </w:r>
      <w:r w:rsidRPr="0003338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– </w:t>
      </w:r>
      <w:r w:rsidRPr="00033383">
        <w:rPr>
          <w:rFonts w:asciiTheme="majorBidi" w:hAnsiTheme="majorBidi" w:cstheme="majorBidi"/>
          <w:sz w:val="24"/>
          <w:szCs w:val="24"/>
          <w:lang w:val="ru-RU"/>
        </w:rPr>
        <w:t>При финансовой помощи Европейского Союза город Душанбе и Управление ООН по снижению риска бедствий провели два семинара по самооценке, посвященные устойчивости к стихийным бедствиям. На семинарах использовались оценочные карты устойчивости к стихийным бедствиям, входящие в инструменты глобальной инициативы «Повышение устойчивости городов» (</w:t>
      </w:r>
      <w:r w:rsidRPr="00033383">
        <w:rPr>
          <w:rFonts w:asciiTheme="majorBidi" w:hAnsiTheme="majorBidi" w:cstheme="majorBidi"/>
          <w:sz w:val="24"/>
          <w:szCs w:val="24"/>
        </w:rPr>
        <w:t>MCR</w:t>
      </w: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2030), которые позволили местным органам власти оценить их устойчивость к стихийным бедствиям и выявить пробелы и сильные стороны, заложив основу для разработки местной стратегии. </w:t>
      </w:r>
    </w:p>
    <w:p w14:paraId="5F015D7C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Оценки были проведены в рамках инициативы «Повышение устойчивости к стихийным бедствиям и ускорение реализации Сендайской рамочной программы по снижению риска бедствий в Центральной Азии», финансируемой Европейским Союзом, а также участия города Душанбе в инициативе </w:t>
      </w:r>
      <w:r w:rsidRPr="00033383">
        <w:rPr>
          <w:rFonts w:asciiTheme="majorBidi" w:hAnsiTheme="majorBidi" w:cstheme="majorBidi"/>
          <w:sz w:val="24"/>
          <w:szCs w:val="24"/>
        </w:rPr>
        <w:t>MCR</w:t>
      </w: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2030. Самооценка является частью долгосрочного процесса оценки устойчивости к стихийным бедствиям и разработки местной стратегии противодействия стихийным бедствиям в городе Душанбе в соответствии с Сендайской рамочной программой по снижению риска бедствий. </w:t>
      </w:r>
    </w:p>
    <w:p w14:paraId="526C4A9E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Самооценка проводится членами Технической рабочей группы, созданной городом Душанбе. Техническая группа состоит из представителей местных и национальных органов власти. Семинары представляют собой практические упражнения, которые проводятся на вводной встрече. В семинарах также приняли участие Делегация ЕС в Таджикистане и партнеры ООН. </w:t>
      </w:r>
    </w:p>
    <w:p w14:paraId="1F7770CF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На первом семинаре по самооценке участники работали над оценкой «Предварительной системы показателей устойчивости к стихийным бедствиям», направленной на установление исходных показателей текущего уровня устойчивости города к стихийным бедствиям, а также на повышение осведомленности и понимания проблем устойчивости соответствующими заинтересованными сторонами. На втором семинаре, проведенном при поддержке Всемирной организации здравоохранения, использовалась «Система показателей устойчивости системы общественного здравоохранения», направленная на расширение охвата вопросов общественного здравоохранения и последствий при управлении рисками стихийных бедствий. </w:t>
      </w:r>
    </w:p>
    <w:p w14:paraId="442F6DC5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Во время семинара участники узнали об основе создания местной устойчивости, они смогли выявить пробелы в устойчивости к стихийным бедствиям и оценить текущую политику и практику для повышения устойчивости города. </w:t>
      </w:r>
    </w:p>
    <w:p w14:paraId="241C9646" w14:textId="0E5837CD" w:rsidR="00033383" w:rsidRPr="00033383" w:rsidRDefault="00033383" w:rsidP="00033383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>Семинары были проведены в решающий момент, всего за несколько недель до Седьмой сессии Глобальной платформы по снижению риска бедствий, крупнейшего в мире мероприятия по снижению риска бедствий и повышению устойчивости сообществ и стран.</w:t>
      </w:r>
    </w:p>
    <w:p w14:paraId="77BDBCC4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Г-н Уильям Линдберг, Программный менеджер Представительства Европейского Союза в Республике Таджикистан, сказал: «Управление рисками стихийных бедствий является важной частью Европейского «Зеленого курса», Стратегии ЕС для Центральной Азии и новой стратегии Глобальных ворот. Совместно с государствами-членами </w:t>
      </w:r>
      <w:r w:rsidRPr="00033383">
        <w:rPr>
          <w:rFonts w:asciiTheme="majorBidi" w:hAnsiTheme="majorBidi" w:cstheme="majorBidi"/>
          <w:sz w:val="24"/>
          <w:szCs w:val="24"/>
        </w:rPr>
        <w:t>EC</w:t>
      </w: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 мы предоставляем широкий спектр мер реагирования на стихийные бедствия, начиная от финансирования и средне- и долгосрочной технической помощи и наращивания потенциала для властей стран-партнеров и заканчивая краткосрочными мерами быстрого реагирования для поддержки гуманитарных потребностей после стихийных бедствий. Мы полностью поддерживаем Таджикистан в развитии надежного сектора управлением риска бедствий, готовому противостоять потенциальным будущим бедствиям, которые не в последнюю очередь связаны с изменением климата». </w:t>
      </w:r>
    </w:p>
    <w:p w14:paraId="44FF9407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Г-н Сулаймон Шамсизода, начальник Управления КЧС и ГО по городу Душанбе, отметил: «В последние годы Республика Таджикистан работала над повышением потенциала страны в области управления рисками бедствий и выполнения обязательств в рамках Сендайской рамочной программы по снижению риска бедствий на 2015–2030 годы. В рамках этого процесса Таджикистан принял новую стратегию снижения риска бедствий. В связи с этим я хотел бы подчеркнуть, что Комитет по чрезвычайным ситуациям Душанбе успешно проводит различные мероприятия, направленные на укрепление устойчивости города. Мы надеемся продолжить нашу работу по повышению устойчивости с различными партнерами в будущем». </w:t>
      </w:r>
    </w:p>
    <w:p w14:paraId="1BDEAEE1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Г-н Абдурахим Мухидов, региональный менеджер программы УСРБ ООН подчеркнул, что «город Душанбе развивается очень быстро. Очень важно повысить безопасность и экологичность города, а также устойчивость к существующим и возникающим опасностям, интегрировать эти соображения в общий план развития города. Эти профилактические меры обеспечивают безопасные и комфортные условия для жителей города и надлежащее функционирование его инфраструктуры». </w:t>
      </w:r>
    </w:p>
    <w:p w14:paraId="48E7BB83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Общая информация </w:t>
      </w:r>
    </w:p>
    <w:p w14:paraId="7D117F41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Финансируемый Европейским Союзом проект «Повышение устойчивости к бедствиям и ускорение реализации Сендайской рамочной программы по снижению риска бедствий в Центральной Азии», реализуемый Управлением Организации Объединенных Наций по Снижению Риска Бедствий (УСБР ООН), оказывает поддержку странам региона в реализации приоритетов Сендайской рамочной программы. Проект поддерживает укрепление региональной координации, разработку региональной стратегии СРБ, национальные системы учета потерь от стихийных бедствий и снижение риска бедствий на уровне сообщества. На местном уровне проект поддерживает разработку стратегий повышения устойчивости бедствиям в столичных городах. ЕС выделил 3,750,000 евро на трехлетнюю реализацию этого проекта. «Повышение Устойчивости Городов 2030» 3 </w:t>
      </w:r>
    </w:p>
    <w:p w14:paraId="234BEBAF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32"/>
          <w:szCs w:val="32"/>
          <w:lang w:val="ru-RU"/>
        </w:rPr>
      </w:pPr>
    </w:p>
    <w:p w14:paraId="329D50D9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lastRenderedPageBreak/>
        <w:t>(</w:t>
      </w:r>
      <w:r w:rsidRPr="00033383">
        <w:rPr>
          <w:rFonts w:asciiTheme="majorBidi" w:hAnsiTheme="majorBidi" w:cstheme="majorBidi"/>
          <w:sz w:val="24"/>
          <w:szCs w:val="24"/>
        </w:rPr>
        <w:t>MCR</w:t>
      </w: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2030) – это уникальная инициатива с участием всех заинтересованных сторон, направленная на повышение устойчивости местного населения путем повышения безопасности городов, предотвращения рисков и поощрения инноваций и инвестиций. Основываясь на кампании «Сделаем города устойчивыми», которая началась в 2010 году, </w:t>
      </w:r>
      <w:r w:rsidRPr="00033383">
        <w:rPr>
          <w:rFonts w:asciiTheme="majorBidi" w:hAnsiTheme="majorBidi" w:cstheme="majorBidi"/>
          <w:sz w:val="24"/>
          <w:szCs w:val="24"/>
        </w:rPr>
        <w:t>MCR</w:t>
      </w: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2030 приветствует города, местные органы власти, а также любые другие заинтересованные стороны, желающие помочь городам процветать посредством распространения и обмена знаниями, а также через межгородские сети. </w:t>
      </w:r>
    </w:p>
    <w:p w14:paraId="5833581E" w14:textId="77777777" w:rsidR="00033383" w:rsidRP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Для дополнительной информации, пожалуйста, свяжитесь с: </w:t>
      </w:r>
    </w:p>
    <w:p w14:paraId="5A7D442B" w14:textId="77777777" w:rsidR="00033383" w:rsidRDefault="00033383" w:rsidP="0003338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Делегация ЕС в Казахстане, по адресу: </w:t>
      </w:r>
      <w:hyperlink r:id="rId7" w:history="1"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delegation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-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kazakhstan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-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pic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@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eeas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europa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eu</w:t>
        </w:r>
      </w:hyperlink>
    </w:p>
    <w:p w14:paraId="110ED75B" w14:textId="074418EF" w:rsidR="00E82FDD" w:rsidRPr="00033383" w:rsidRDefault="00033383" w:rsidP="00033383">
      <w:pPr>
        <w:jc w:val="both"/>
        <w:rPr>
          <w:rFonts w:asciiTheme="majorBidi" w:eastAsia="Times New Roman" w:hAnsiTheme="majorBidi" w:cstheme="majorBidi"/>
          <w:bCs/>
          <w:sz w:val="32"/>
          <w:szCs w:val="32"/>
          <w:lang w:val="ru-RU"/>
        </w:rPr>
      </w:pPr>
      <w:r w:rsidRPr="00033383">
        <w:rPr>
          <w:rFonts w:asciiTheme="majorBidi" w:hAnsiTheme="majorBidi" w:cstheme="majorBidi"/>
          <w:sz w:val="24"/>
          <w:szCs w:val="24"/>
          <w:lang w:val="ru-RU"/>
        </w:rPr>
        <w:t xml:space="preserve">Абдурахим Мухидов, Региональный Менеджер программы УСРБ ООН, по адресу: </w:t>
      </w:r>
      <w:hyperlink r:id="rId8" w:history="1"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muhidov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@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un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0B5E5C">
          <w:rPr>
            <w:rStyle w:val="Hyperlink"/>
            <w:rFonts w:asciiTheme="majorBidi" w:hAnsiTheme="majorBidi" w:cstheme="majorBidi"/>
            <w:sz w:val="24"/>
            <w:szCs w:val="24"/>
          </w:rPr>
          <w:t>org</w:t>
        </w:r>
      </w:hyperlink>
      <w:r w:rsidRPr="00033383">
        <w:rPr>
          <w:rFonts w:asciiTheme="majorBidi" w:eastAsia="Times New Roman" w:hAnsiTheme="majorBidi" w:cstheme="majorBidi"/>
          <w:bCs/>
          <w:sz w:val="32"/>
          <w:szCs w:val="32"/>
          <w:lang w:val="ru-RU"/>
        </w:rPr>
        <w:t xml:space="preserve"> </w:t>
      </w:r>
    </w:p>
    <w:sectPr w:rsidR="00E82FDD" w:rsidRPr="00033383" w:rsidSect="00F8377B">
      <w:headerReference w:type="default" r:id="rId9"/>
      <w:footerReference w:type="even" r:id="rId10"/>
      <w:footerReference w:type="default" r:id="rId11"/>
      <w:pgSz w:w="12240" w:h="15840"/>
      <w:pgMar w:top="2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5BFF" w14:textId="77777777" w:rsidR="00DC6E8F" w:rsidRDefault="00DC6E8F" w:rsidP="00F8377B">
      <w:pPr>
        <w:spacing w:after="0" w:line="240" w:lineRule="auto"/>
      </w:pPr>
      <w:r>
        <w:separator/>
      </w:r>
    </w:p>
  </w:endnote>
  <w:endnote w:type="continuationSeparator" w:id="0">
    <w:p w14:paraId="41ADA690" w14:textId="77777777" w:rsidR="00DC6E8F" w:rsidRDefault="00DC6E8F" w:rsidP="00F8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370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838FDA" w14:textId="48B268C3" w:rsidR="00C601DF" w:rsidRDefault="00C601DF" w:rsidP="004E51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C039E" w14:textId="77777777" w:rsidR="00C601DF" w:rsidRDefault="00C6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9658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809CFF" w14:textId="70314551" w:rsidR="00C601DF" w:rsidRDefault="00C601DF" w:rsidP="004E51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779AF6" w14:textId="77777777" w:rsidR="00C601DF" w:rsidRDefault="00C6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CFA6" w14:textId="77777777" w:rsidR="00DC6E8F" w:rsidRDefault="00DC6E8F" w:rsidP="00F8377B">
      <w:pPr>
        <w:spacing w:after="0" w:line="240" w:lineRule="auto"/>
      </w:pPr>
      <w:r>
        <w:separator/>
      </w:r>
    </w:p>
  </w:footnote>
  <w:footnote w:type="continuationSeparator" w:id="0">
    <w:p w14:paraId="644B3C0F" w14:textId="77777777" w:rsidR="00DC6E8F" w:rsidRDefault="00DC6E8F" w:rsidP="00F8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5242" w14:textId="1175D691" w:rsidR="00F8377B" w:rsidRDefault="00BB13E5">
    <w:pPr>
      <w:pStyle w:val="Header"/>
    </w:pPr>
    <w:r w:rsidRPr="00F8377B">
      <w:rPr>
        <w:noProof/>
      </w:rPr>
      <w:drawing>
        <wp:anchor distT="0" distB="0" distL="114300" distR="114300" simplePos="0" relativeHeight="251662336" behindDoc="1" locked="0" layoutInCell="1" allowOverlap="1" wp14:anchorId="7AF2D3B4" wp14:editId="1A9F66B3">
          <wp:simplePos x="0" y="0"/>
          <wp:positionH relativeFrom="column">
            <wp:posOffset>2889609</wp:posOffset>
          </wp:positionH>
          <wp:positionV relativeFrom="paragraph">
            <wp:posOffset>-52382</wp:posOffset>
          </wp:positionV>
          <wp:extent cx="1486535" cy="539750"/>
          <wp:effectExtent l="0" t="0" r="0" b="0"/>
          <wp:wrapTight wrapText="bothSides">
            <wp:wrapPolygon edited="0">
              <wp:start x="830" y="0"/>
              <wp:lineTo x="0" y="2287"/>
              <wp:lineTo x="0" y="20584"/>
              <wp:lineTo x="17439" y="20584"/>
              <wp:lineTo x="21314" y="20584"/>
              <wp:lineTo x="21314" y="4574"/>
              <wp:lineTo x="5813" y="0"/>
              <wp:lineTo x="830" y="0"/>
            </wp:wrapPolygon>
          </wp:wrapTight>
          <wp:docPr id="55" name="Picture 5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77B">
      <w:rPr>
        <w:noProof/>
      </w:rPr>
      <w:drawing>
        <wp:anchor distT="0" distB="0" distL="114300" distR="114300" simplePos="0" relativeHeight="251660288" behindDoc="1" locked="0" layoutInCell="1" allowOverlap="1" wp14:anchorId="1BCDE556" wp14:editId="1399E5D6">
          <wp:simplePos x="0" y="0"/>
          <wp:positionH relativeFrom="column">
            <wp:posOffset>1723642</wp:posOffset>
          </wp:positionH>
          <wp:positionV relativeFrom="paragraph">
            <wp:posOffset>-155575</wp:posOffset>
          </wp:positionV>
          <wp:extent cx="685800" cy="749300"/>
          <wp:effectExtent l="0" t="0" r="0" b="0"/>
          <wp:wrapTight wrapText="bothSides">
            <wp:wrapPolygon edited="0">
              <wp:start x="0" y="0"/>
              <wp:lineTo x="0" y="19769"/>
              <wp:lineTo x="9000" y="20868"/>
              <wp:lineTo x="12000" y="20868"/>
              <wp:lineTo x="21000" y="19769"/>
              <wp:lineTo x="21000" y="0"/>
              <wp:lineTo x="0" y="0"/>
            </wp:wrapPolygon>
          </wp:wrapTight>
          <wp:docPr id="57" name="Picture 5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77B">
      <w:rPr>
        <w:noProof/>
      </w:rPr>
      <w:drawing>
        <wp:anchor distT="0" distB="0" distL="114300" distR="114300" simplePos="0" relativeHeight="251659264" behindDoc="1" locked="0" layoutInCell="1" allowOverlap="1" wp14:anchorId="3C9D4A26" wp14:editId="77873DB5">
          <wp:simplePos x="0" y="0"/>
          <wp:positionH relativeFrom="column">
            <wp:posOffset>4718050</wp:posOffset>
          </wp:positionH>
          <wp:positionV relativeFrom="paragraph">
            <wp:posOffset>0</wp:posOffset>
          </wp:positionV>
          <wp:extent cx="1186180" cy="487680"/>
          <wp:effectExtent l="0" t="0" r="0" b="7620"/>
          <wp:wrapTight wrapText="bothSides">
            <wp:wrapPolygon edited="0">
              <wp:start x="0" y="0"/>
              <wp:lineTo x="0" y="21094"/>
              <wp:lineTo x="21161" y="21094"/>
              <wp:lineTo x="21161" y="0"/>
              <wp:lineTo x="0" y="0"/>
            </wp:wrapPolygon>
          </wp:wrapTight>
          <wp:docPr id="58" name="Picture 5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56C" w:rsidRPr="00F8377B">
      <w:rPr>
        <w:noProof/>
      </w:rPr>
      <w:drawing>
        <wp:anchor distT="0" distB="0" distL="114300" distR="114300" simplePos="0" relativeHeight="251661312" behindDoc="0" locked="0" layoutInCell="1" allowOverlap="1" wp14:anchorId="7268E464" wp14:editId="600DD1BC">
          <wp:simplePos x="0" y="0"/>
          <wp:positionH relativeFrom="column">
            <wp:posOffset>45720</wp:posOffset>
          </wp:positionH>
          <wp:positionV relativeFrom="paragraph">
            <wp:posOffset>-156210</wp:posOffset>
          </wp:positionV>
          <wp:extent cx="923925" cy="756920"/>
          <wp:effectExtent l="0" t="0" r="0" b="5080"/>
          <wp:wrapThrough wrapText="bothSides">
            <wp:wrapPolygon edited="0">
              <wp:start x="0" y="0"/>
              <wp:lineTo x="0" y="21201"/>
              <wp:lineTo x="20932" y="21201"/>
              <wp:lineTo x="20932" y="0"/>
              <wp:lineTo x="0" y="0"/>
            </wp:wrapPolygon>
          </wp:wrapThrough>
          <wp:docPr id="56" name="Picture 56" descr="A picture containing text, screenshot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screenshot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1A2"/>
    <w:multiLevelType w:val="multilevel"/>
    <w:tmpl w:val="F3D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MzA2MjUyMTUyNDBR0lEKTi0uzszPAykwqQUArQK1DywAAAA="/>
  </w:docVars>
  <w:rsids>
    <w:rsidRoot w:val="00F8377B"/>
    <w:rsid w:val="00015180"/>
    <w:rsid w:val="00030DCA"/>
    <w:rsid w:val="00033383"/>
    <w:rsid w:val="00037033"/>
    <w:rsid w:val="00046D2B"/>
    <w:rsid w:val="00082110"/>
    <w:rsid w:val="000C01DE"/>
    <w:rsid w:val="000D78B2"/>
    <w:rsid w:val="000E1973"/>
    <w:rsid w:val="0010016D"/>
    <w:rsid w:val="001033B5"/>
    <w:rsid w:val="001034C3"/>
    <w:rsid w:val="0013109B"/>
    <w:rsid w:val="00164A43"/>
    <w:rsid w:val="00175ECE"/>
    <w:rsid w:val="001771A6"/>
    <w:rsid w:val="00187A55"/>
    <w:rsid w:val="00194D3D"/>
    <w:rsid w:val="001D0161"/>
    <w:rsid w:val="001F3277"/>
    <w:rsid w:val="002105CA"/>
    <w:rsid w:val="00215940"/>
    <w:rsid w:val="00260401"/>
    <w:rsid w:val="002D54C5"/>
    <w:rsid w:val="0032656C"/>
    <w:rsid w:val="00327859"/>
    <w:rsid w:val="003533E8"/>
    <w:rsid w:val="00375B0E"/>
    <w:rsid w:val="003944D8"/>
    <w:rsid w:val="0039788C"/>
    <w:rsid w:val="0040205A"/>
    <w:rsid w:val="004528EE"/>
    <w:rsid w:val="00460A45"/>
    <w:rsid w:val="00480172"/>
    <w:rsid w:val="004A353D"/>
    <w:rsid w:val="004B7221"/>
    <w:rsid w:val="004C4B72"/>
    <w:rsid w:val="004E4DD4"/>
    <w:rsid w:val="004E5F57"/>
    <w:rsid w:val="00535DC5"/>
    <w:rsid w:val="00544B60"/>
    <w:rsid w:val="005512E0"/>
    <w:rsid w:val="00563E41"/>
    <w:rsid w:val="00604230"/>
    <w:rsid w:val="00615065"/>
    <w:rsid w:val="0066251D"/>
    <w:rsid w:val="00672D89"/>
    <w:rsid w:val="0069312C"/>
    <w:rsid w:val="006A1795"/>
    <w:rsid w:val="006A43BA"/>
    <w:rsid w:val="006D73F1"/>
    <w:rsid w:val="006E3167"/>
    <w:rsid w:val="006F2935"/>
    <w:rsid w:val="00743FAE"/>
    <w:rsid w:val="00755B4F"/>
    <w:rsid w:val="007A4798"/>
    <w:rsid w:val="007B5EB9"/>
    <w:rsid w:val="007D3CAF"/>
    <w:rsid w:val="007F0E93"/>
    <w:rsid w:val="007F75DB"/>
    <w:rsid w:val="00807BA9"/>
    <w:rsid w:val="008121D1"/>
    <w:rsid w:val="00837AA4"/>
    <w:rsid w:val="008B713F"/>
    <w:rsid w:val="008C0528"/>
    <w:rsid w:val="008C4B95"/>
    <w:rsid w:val="008D5452"/>
    <w:rsid w:val="008F1CCA"/>
    <w:rsid w:val="00944631"/>
    <w:rsid w:val="00955E16"/>
    <w:rsid w:val="00967E48"/>
    <w:rsid w:val="009856FD"/>
    <w:rsid w:val="00992EDB"/>
    <w:rsid w:val="009B34BC"/>
    <w:rsid w:val="009C2FAB"/>
    <w:rsid w:val="009E2166"/>
    <w:rsid w:val="00A00FEF"/>
    <w:rsid w:val="00A13226"/>
    <w:rsid w:val="00A13685"/>
    <w:rsid w:val="00A91429"/>
    <w:rsid w:val="00AA5855"/>
    <w:rsid w:val="00AF7DF0"/>
    <w:rsid w:val="00B255AC"/>
    <w:rsid w:val="00B35855"/>
    <w:rsid w:val="00B651D5"/>
    <w:rsid w:val="00B70289"/>
    <w:rsid w:val="00B917CA"/>
    <w:rsid w:val="00BA1C4F"/>
    <w:rsid w:val="00BB13E5"/>
    <w:rsid w:val="00BE17D7"/>
    <w:rsid w:val="00BE7192"/>
    <w:rsid w:val="00C601DF"/>
    <w:rsid w:val="00CC1D26"/>
    <w:rsid w:val="00D017A4"/>
    <w:rsid w:val="00D15428"/>
    <w:rsid w:val="00D51073"/>
    <w:rsid w:val="00D61A54"/>
    <w:rsid w:val="00D73E08"/>
    <w:rsid w:val="00D93E21"/>
    <w:rsid w:val="00DB70C6"/>
    <w:rsid w:val="00DC6E8F"/>
    <w:rsid w:val="00DF20AB"/>
    <w:rsid w:val="00E0744B"/>
    <w:rsid w:val="00E35072"/>
    <w:rsid w:val="00E82056"/>
    <w:rsid w:val="00E82FDD"/>
    <w:rsid w:val="00E84C44"/>
    <w:rsid w:val="00ED36C1"/>
    <w:rsid w:val="00EF0713"/>
    <w:rsid w:val="00F01F70"/>
    <w:rsid w:val="00F033F3"/>
    <w:rsid w:val="00F04498"/>
    <w:rsid w:val="00F072BF"/>
    <w:rsid w:val="00F24B20"/>
    <w:rsid w:val="00F43E03"/>
    <w:rsid w:val="00F52FDC"/>
    <w:rsid w:val="00F56FD3"/>
    <w:rsid w:val="00F64B5C"/>
    <w:rsid w:val="00F8377B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8C9C"/>
  <w15:chartTrackingRefBased/>
  <w15:docId w15:val="{D3D7F3B9-EE8D-4FBB-846D-1627FFC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7B"/>
  </w:style>
  <w:style w:type="paragraph" w:styleId="Footer">
    <w:name w:val="footer"/>
    <w:basedOn w:val="Normal"/>
    <w:link w:val="FooterChar"/>
    <w:uiPriority w:val="99"/>
    <w:unhideWhenUsed/>
    <w:rsid w:val="00F83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7B"/>
  </w:style>
  <w:style w:type="character" w:styleId="Hyperlink">
    <w:name w:val="Hyperlink"/>
    <w:basedOn w:val="DefaultParagraphFont"/>
    <w:uiPriority w:val="99"/>
    <w:unhideWhenUsed/>
    <w:rsid w:val="00E82FD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4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601DF"/>
  </w:style>
  <w:style w:type="character" w:styleId="CommentReference">
    <w:name w:val="annotation reference"/>
    <w:basedOn w:val="DefaultParagraphFont"/>
    <w:uiPriority w:val="99"/>
    <w:semiHidden/>
    <w:unhideWhenUsed/>
    <w:rsid w:val="006F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9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A45"/>
    <w:pPr>
      <w:spacing w:after="0" w:line="240" w:lineRule="auto"/>
    </w:pPr>
  </w:style>
  <w:style w:type="paragraph" w:customStyle="1" w:styleId="Default">
    <w:name w:val="Default"/>
    <w:rsid w:val="00033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0333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idov@u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legation-kazakhstan-pic@eeas.europ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Nhusha Vu</dc:creator>
  <cp:keywords/>
  <dc:description/>
  <cp:lastModifiedBy>Dilshod Kodirov</cp:lastModifiedBy>
  <cp:revision>3</cp:revision>
  <dcterms:created xsi:type="dcterms:W3CDTF">2022-06-10T01:57:00Z</dcterms:created>
  <dcterms:modified xsi:type="dcterms:W3CDTF">2022-06-10T02:02:00Z</dcterms:modified>
</cp:coreProperties>
</file>