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8" w:rsidRPr="00DA0288" w:rsidRDefault="00DA0288" w:rsidP="00DA0288">
      <w:pPr>
        <w:rPr>
          <w:b/>
          <w:lang w:val="en-US"/>
        </w:rPr>
      </w:pPr>
      <w:r w:rsidRPr="00DA0288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91ECB6" wp14:editId="2832E95F">
            <wp:simplePos x="0" y="0"/>
            <wp:positionH relativeFrom="margin">
              <wp:align>left</wp:align>
            </wp:positionH>
            <wp:positionV relativeFrom="paragraph">
              <wp:posOffset>103367</wp:posOffset>
            </wp:positionV>
            <wp:extent cx="1142365" cy="600710"/>
            <wp:effectExtent l="0" t="0" r="635" b="8890"/>
            <wp:wrapTight wrapText="bothSides">
              <wp:wrapPolygon edited="0">
                <wp:start x="0" y="0"/>
                <wp:lineTo x="0" y="21235"/>
                <wp:lineTo x="21252" y="21235"/>
                <wp:lineTo x="21252" y="0"/>
                <wp:lineTo x="0" y="0"/>
              </wp:wrapPolygon>
            </wp:wrapTight>
            <wp:docPr id="2" name="Рисунок 2" descr="D:\EY\USDoS project\USDoS_2017-2018_OY2\Logo\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EY\USDoS project\USDoS_2017-2018_OY2\Logo\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28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2FA0AD" wp14:editId="7233EB68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Рисунок 1" descr="D:\EY\USDoS project\USDoS_2017-2018_OY2\Logo\TNM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EY\USDoS project\USDoS_2017-2018_OY2\Logo\TNMA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288" w:rsidRDefault="00DA0288"/>
    <w:p w:rsidR="00DA0288" w:rsidRDefault="00DA0288" w:rsidP="00DA0288"/>
    <w:p w:rsidR="00DA0288" w:rsidRPr="00DA0288" w:rsidRDefault="00DA0288" w:rsidP="007125D1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288">
        <w:rPr>
          <w:rFonts w:ascii="Times New Roman" w:hAnsi="Times New Roman" w:cs="Times New Roman"/>
          <w:b/>
          <w:sz w:val="28"/>
          <w:szCs w:val="28"/>
          <w:lang w:val="en-US"/>
        </w:rPr>
        <w:t>VEHICLE PROCUREMENT NOTICE</w:t>
      </w:r>
    </w:p>
    <w:p w:rsidR="00DA0288" w:rsidRPr="00DA0288" w:rsidRDefault="00DA0288" w:rsidP="009248E5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Government Institution “Tajikistan National Mine Action Centre”, with the financial support of the US Department of State, announces the notice for procurement of </w:t>
      </w:r>
      <w:r w:rsidR="0057409B">
        <w:rPr>
          <w:rFonts w:ascii="Times New Roman" w:hAnsi="Times New Roman" w:cs="Times New Roman"/>
          <w:sz w:val="28"/>
          <w:szCs w:val="28"/>
          <w:lang w:val="en-US"/>
        </w:rPr>
        <w:t xml:space="preserve">Toyota </w:t>
      </w:r>
      <w:r w:rsidR="00015C78">
        <w:rPr>
          <w:rFonts w:ascii="Times New Roman" w:hAnsi="Times New Roman" w:cs="Times New Roman"/>
          <w:sz w:val="28"/>
          <w:szCs w:val="28"/>
          <w:lang w:val="en-US"/>
        </w:rPr>
        <w:t>Hilux</w:t>
      </w:r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 vehicle.</w:t>
      </w:r>
    </w:p>
    <w:p w:rsidR="00DA0288" w:rsidRPr="00DA0288" w:rsidRDefault="00DA0288" w:rsidP="00DA0288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A0288">
        <w:rPr>
          <w:rFonts w:ascii="Times New Roman" w:hAnsi="Times New Roman" w:cs="Times New Roman"/>
          <w:sz w:val="28"/>
          <w:szCs w:val="28"/>
          <w:lang w:val="en-US"/>
        </w:rPr>
        <w:t>The technical specifications:</w:t>
      </w: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3827"/>
      </w:tblGrid>
      <w:tr w:rsidR="00DA0288" w:rsidRPr="00F574EC" w:rsidTr="008044E0">
        <w:trPr>
          <w:trHeight w:val="300"/>
        </w:trPr>
        <w:tc>
          <w:tcPr>
            <w:tcW w:w="5372" w:type="dxa"/>
            <w:shd w:val="clear" w:color="auto" w:fill="auto"/>
            <w:noWrap/>
            <w:hideMark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MAKE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0288" w:rsidRPr="004F5445" w:rsidRDefault="0024107B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96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TOYOTA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HILUX with Canopy Roof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  <w:hideMark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MODEL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0288" w:rsidRPr="00DA0288" w:rsidRDefault="004F5445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GUN125L-DTFHX</w:t>
            </w:r>
          </w:p>
        </w:tc>
      </w:tr>
      <w:tr w:rsidR="00DA0288" w:rsidRPr="00E777B6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BODY TYPE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4F5445" w:rsidP="00E777B6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PICK</w:t>
            </w:r>
            <w:r w:rsidR="00837BD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UP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COLOR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380DDD" w:rsidRDefault="008044E0" w:rsidP="008044E0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White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YEAR OF MANUFACTURE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C17326" w:rsidRDefault="00C17326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C07BDB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DA0288" w:rsidRPr="00DA02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0288" w:rsidRPr="00DA02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PCS</w:t>
            </w:r>
            <w:r w:rsidR="00DA0288" w:rsidRPr="00DA028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DIMENSIONS</w:t>
            </w:r>
            <w:r w:rsidRPr="00DA0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A0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mm</w:t>
            </w:r>
            <w:r w:rsidRPr="00DA028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4F5445" w:rsidRDefault="004F5445" w:rsidP="004F5445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</w:t>
            </w:r>
            <w:r w:rsidR="009551D3" w:rsidRPr="009551D3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1855</w:t>
            </w:r>
            <w:r w:rsidR="009551D3" w:rsidRPr="009551D3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1815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FUEL TANK CAPACITY</w:t>
            </w:r>
            <w:r w:rsidRPr="00DA0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(l)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837BDC" w:rsidRDefault="00837BDC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DA0288" w:rsidRPr="00DA0288" w:rsidTr="008044E0">
        <w:trPr>
          <w:trHeight w:val="357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TRANSMISSION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4F5445" w:rsidP="004F5445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Manual</w:t>
            </w:r>
            <w:r w:rsidR="00837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6 speed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DRIVING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LEFTHAND</w:t>
            </w:r>
          </w:p>
        </w:tc>
      </w:tr>
      <w:tr w:rsidR="00DA0288" w:rsidRPr="00DA0288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FUEL TYPE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DA0288" w:rsidP="00B34734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2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DIESEL</w:t>
            </w:r>
          </w:p>
        </w:tc>
      </w:tr>
      <w:tr w:rsidR="00DA0288" w:rsidRPr="009551D3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837BDC" w:rsidP="00837BDC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2,4</w:t>
            </w:r>
            <w:r w:rsidR="009551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3473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liters</w:t>
            </w:r>
            <w:r w:rsidR="009551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DA0288" w:rsidRPr="00DA02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cylinder</w:t>
            </w:r>
          </w:p>
        </w:tc>
      </w:tr>
      <w:tr w:rsidR="00DA0288" w:rsidRPr="009551D3" w:rsidTr="008044E0">
        <w:trPr>
          <w:trHeight w:val="300"/>
        </w:trPr>
        <w:tc>
          <w:tcPr>
            <w:tcW w:w="5372" w:type="dxa"/>
            <w:shd w:val="clear" w:color="auto" w:fill="auto"/>
            <w:noWrap/>
          </w:tcPr>
          <w:p w:rsidR="00DA0288" w:rsidRPr="00DA0288" w:rsidRDefault="00DA0288" w:rsidP="00DA0288">
            <w:pPr>
              <w:tabs>
                <w:tab w:val="left" w:pos="30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A0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SEATING CAPACITY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0288" w:rsidRPr="00DA0288" w:rsidRDefault="004F5445" w:rsidP="00DA0288">
            <w:pPr>
              <w:tabs>
                <w:tab w:val="left" w:pos="303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</w:tbl>
    <w:p w:rsidR="00DA0288" w:rsidRPr="0057409B" w:rsidRDefault="00DA0288" w:rsidP="00DA0288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A0288" w:rsidRPr="00DA0288" w:rsidRDefault="00DA0288" w:rsidP="00DA0288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You can also get the detailed information regarding the technical specifications at the office of the Government Institution “Tajikistan National Mine Action Centre” located at 121 </w:t>
      </w:r>
      <w:proofErr w:type="spellStart"/>
      <w:r w:rsidRPr="00DA0288">
        <w:rPr>
          <w:rFonts w:ascii="Times New Roman" w:hAnsi="Times New Roman" w:cs="Times New Roman"/>
          <w:sz w:val="28"/>
          <w:szCs w:val="28"/>
          <w:lang w:val="en-US"/>
        </w:rPr>
        <w:t>Aini</w:t>
      </w:r>
      <w:proofErr w:type="spellEnd"/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 str., Dushanbe. For enquiries, please c</w:t>
      </w:r>
      <w:r w:rsidR="0062672C">
        <w:rPr>
          <w:rFonts w:ascii="Times New Roman" w:hAnsi="Times New Roman" w:cs="Times New Roman"/>
          <w:sz w:val="28"/>
          <w:szCs w:val="28"/>
          <w:lang w:val="en-US"/>
        </w:rPr>
        <w:t xml:space="preserve">all: 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>+992 37 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>221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>66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>87</w:t>
      </w:r>
      <w:r w:rsidR="00F574EC"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>; +992 50 111 05 00.</w:t>
      </w:r>
      <w:bookmarkStart w:id="0" w:name="_GoBack"/>
      <w:bookmarkEnd w:id="0"/>
    </w:p>
    <w:p w:rsidR="00DA0288" w:rsidRPr="00DA0288" w:rsidRDefault="00DA0288" w:rsidP="009248E5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Commercial offers for the supply of the above indicated vehicle must be submitted in the </w:t>
      </w:r>
      <w:r w:rsidRPr="00DA028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sealed envelopes</w:t>
      </w:r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 to the following address: 121 </w:t>
      </w:r>
      <w:proofErr w:type="spellStart"/>
      <w:r w:rsidRPr="00DA0288">
        <w:rPr>
          <w:rFonts w:ascii="Times New Roman" w:hAnsi="Times New Roman" w:cs="Times New Roman"/>
          <w:sz w:val="28"/>
          <w:szCs w:val="28"/>
          <w:lang w:val="en-US"/>
        </w:rPr>
        <w:t>Aini</w:t>
      </w:r>
      <w:proofErr w:type="spellEnd"/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 str., </w:t>
      </w:r>
      <w:r w:rsidR="0062672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Government Institution “Tajikistan National Mine Action Centre”, Dushanbe, </w:t>
      </w:r>
      <w:r w:rsidR="009248E5" w:rsidRPr="009248E5">
        <w:rPr>
          <w:rFonts w:ascii="Times New Roman" w:hAnsi="Times New Roman" w:cs="Times New Roman"/>
          <w:sz w:val="28"/>
          <w:szCs w:val="28"/>
          <w:lang w:val="en-US"/>
        </w:rPr>
        <w:t>3rd floor of the building of the Migration Service of the Ministry of Labor, Migration and Employment of the Republic of Tajikistan (opposite to Polycl</w:t>
      </w:r>
      <w:r w:rsidR="009248E5">
        <w:rPr>
          <w:rFonts w:ascii="Times New Roman" w:hAnsi="Times New Roman" w:cs="Times New Roman"/>
          <w:sz w:val="28"/>
          <w:szCs w:val="28"/>
          <w:lang w:val="en-US"/>
        </w:rPr>
        <w:t>inic #3, next to the DOK)</w:t>
      </w:r>
      <w:r w:rsidRPr="009248E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A277B" w:rsidRPr="009B6993" w:rsidRDefault="00DA0288" w:rsidP="00DA0288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DA0288">
        <w:rPr>
          <w:rFonts w:ascii="Times New Roman" w:hAnsi="Times New Roman" w:cs="Times New Roman"/>
          <w:sz w:val="28"/>
          <w:szCs w:val="28"/>
          <w:lang w:val="en-US"/>
        </w:rPr>
        <w:t xml:space="preserve">The deadline for the commercial offers submission is </w:t>
      </w:r>
      <w:r w:rsidR="00C07B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10</w:t>
      </w:r>
      <w:r w:rsidR="00F574E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="00F574E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JULY</w:t>
      </w:r>
      <w:r w:rsidR="00C173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</w:t>
      </w:r>
      <w:proofErr w:type="gramEnd"/>
      <w:r w:rsidR="00C173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2025</w:t>
      </w:r>
      <w:r w:rsidR="0062672C" w:rsidRPr="0062672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before</w:t>
      </w:r>
      <w:r w:rsidR="0062672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2672C" w:rsidRPr="009B69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17.00</w:t>
      </w:r>
      <w:r w:rsidRPr="009B69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9B6993" w:rsidRPr="009B6993" w:rsidRDefault="009B6993" w:rsidP="009B6993">
      <w:pPr>
        <w:spacing w:after="0" w:line="240" w:lineRule="auto"/>
        <w:contextualSpacing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tg-Cyrl-TJ"/>
        </w:rPr>
      </w:pPr>
      <w:r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Express your interest by sending 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references and above-mentioned documents </w:t>
      </w:r>
      <w:proofErr w:type="gramStart"/>
      <w:r w:rsidRPr="009B699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to </w:t>
      </w:r>
      <w:r w:rsidRPr="009B6993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tg-Cyrl-TJ"/>
        </w:rPr>
        <w:t xml:space="preserve"> bakhtovar.bobogadoev@tnmac.gov.tj</w:t>
      </w:r>
      <w:proofErr w:type="gramEnd"/>
      <w:r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 xml:space="preserve"> </w:t>
      </w:r>
      <w:hyperlink r:id="rId6" w:history="1">
        <w:r w:rsidRPr="009B6993">
          <w:rPr>
            <w:rStyle w:val="a3"/>
            <w:rFonts w:ascii="Times New Roman" w:hAnsi="Times New Roman" w:cs="Times New Roman"/>
            <w:sz w:val="28"/>
            <w:szCs w:val="28"/>
            <w:lang w:val="tg-Cyrl-TJ"/>
          </w:rPr>
          <w:t>info@tnmac.gov.tj</w:t>
        </w:r>
      </w:hyperlink>
      <w:r w:rsidRPr="009B6993">
        <w:rPr>
          <w:rStyle w:val="a3"/>
          <w:rFonts w:ascii="Times New Roman" w:hAnsi="Times New Roman" w:cs="Times New Roman"/>
          <w:sz w:val="28"/>
          <w:szCs w:val="28"/>
          <w:lang w:val="tg-Cyrl-TJ"/>
        </w:rPr>
        <w:t xml:space="preserve">,   </w:t>
      </w:r>
      <w:hyperlink r:id="rId7" w:history="1">
        <w:r w:rsidRPr="009B6993">
          <w:rPr>
            <w:rStyle w:val="a3"/>
            <w:rFonts w:ascii="Times New Roman" w:hAnsi="Times New Roman" w:cs="Times New Roman"/>
            <w:sz w:val="28"/>
            <w:szCs w:val="28"/>
            <w:lang w:val="tg-Cyrl-TJ"/>
          </w:rPr>
          <w:t>tnmacprocurementandvacancy@gmail.com</w:t>
        </w:r>
      </w:hyperlink>
      <w:r w:rsidRPr="009B6993">
        <w:rPr>
          <w:rStyle w:val="a3"/>
          <w:rFonts w:ascii="Times New Roman" w:hAnsi="Times New Roman" w:cs="Times New Roman"/>
          <w:sz w:val="28"/>
          <w:szCs w:val="28"/>
          <w:lang w:val="tg-Cyrl-TJ"/>
        </w:rPr>
        <w:t xml:space="preserve"> </w:t>
      </w:r>
    </w:p>
    <w:p w:rsidR="009B6993" w:rsidRPr="009B6993" w:rsidRDefault="009B6993" w:rsidP="009B6993">
      <w:pPr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>For additional information, please contact at +992 37 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>221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>66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tg-Cyrl-TJ"/>
        </w:rPr>
        <w:t>87</w:t>
      </w:r>
      <w:r w:rsidRPr="009B6993">
        <w:rPr>
          <w:rFonts w:ascii="Times New Roman" w:eastAsia="Times New Roman" w:hAnsi="Times New Roman" w:cs="Times New Roman"/>
          <w:sz w:val="28"/>
          <w:szCs w:val="28"/>
          <w:lang w:val="en-US"/>
        </w:rPr>
        <w:t>; +992 50 111 05 00.</w:t>
      </w:r>
    </w:p>
    <w:p w:rsidR="009B6993" w:rsidRPr="00DA0288" w:rsidRDefault="009B6993" w:rsidP="00DA0288">
      <w:pPr>
        <w:tabs>
          <w:tab w:val="left" w:pos="303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B6993" w:rsidRPr="00DA0288" w:rsidSect="009B69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88"/>
    <w:rsid w:val="00015C78"/>
    <w:rsid w:val="001D45EF"/>
    <w:rsid w:val="0024107B"/>
    <w:rsid w:val="00380DDD"/>
    <w:rsid w:val="004A277B"/>
    <w:rsid w:val="004A4C4D"/>
    <w:rsid w:val="004F5445"/>
    <w:rsid w:val="0057409B"/>
    <w:rsid w:val="0060164C"/>
    <w:rsid w:val="0062672C"/>
    <w:rsid w:val="007125D1"/>
    <w:rsid w:val="007310AD"/>
    <w:rsid w:val="008044E0"/>
    <w:rsid w:val="00837A27"/>
    <w:rsid w:val="00837BDC"/>
    <w:rsid w:val="00867293"/>
    <w:rsid w:val="00874660"/>
    <w:rsid w:val="008D1995"/>
    <w:rsid w:val="009248E5"/>
    <w:rsid w:val="009551D3"/>
    <w:rsid w:val="009A3F1D"/>
    <w:rsid w:val="009B6993"/>
    <w:rsid w:val="00B34734"/>
    <w:rsid w:val="00B67C36"/>
    <w:rsid w:val="00BC662D"/>
    <w:rsid w:val="00C07BDB"/>
    <w:rsid w:val="00C17326"/>
    <w:rsid w:val="00D12523"/>
    <w:rsid w:val="00D31D9A"/>
    <w:rsid w:val="00DA0288"/>
    <w:rsid w:val="00DC5E03"/>
    <w:rsid w:val="00E777B6"/>
    <w:rsid w:val="00F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A1AB-C950-472A-8125-E030547F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nmacprocurementandvacanc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nmac.gov.tj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P-y</cp:lastModifiedBy>
  <cp:revision>11</cp:revision>
  <dcterms:created xsi:type="dcterms:W3CDTF">2023-08-04T10:43:00Z</dcterms:created>
  <dcterms:modified xsi:type="dcterms:W3CDTF">2025-06-25T11:05:00Z</dcterms:modified>
</cp:coreProperties>
</file>