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4F741" w14:textId="1FC2A391" w:rsidR="00D41575" w:rsidRPr="003B0067" w:rsidRDefault="00D76623">
      <w:pPr>
        <w:rPr>
          <w:rFonts w:eastAsia="Times New Roman" w:cstheme="minorHAnsi"/>
          <w:color w:val="231F20"/>
          <w:lang w:val="en-US"/>
        </w:rPr>
      </w:pPr>
      <w:r w:rsidRPr="003B0067">
        <w:rPr>
          <w:rFonts w:cstheme="minorHAnsi"/>
          <w:b/>
          <w:noProof/>
          <w:color w:val="231F20"/>
        </w:rPr>
        <w:drawing>
          <wp:anchor distT="0" distB="0" distL="114300" distR="114300" simplePos="0" relativeHeight="251657216" behindDoc="0" locked="0" layoutInCell="1" allowOverlap="1" wp14:anchorId="339D88D6" wp14:editId="13FEF196">
            <wp:simplePos x="0" y="0"/>
            <wp:positionH relativeFrom="column">
              <wp:posOffset>2179320</wp:posOffset>
            </wp:positionH>
            <wp:positionV relativeFrom="paragraph">
              <wp:posOffset>274320</wp:posOffset>
            </wp:positionV>
            <wp:extent cx="1445260" cy="7010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tblpY="506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D41575" w:rsidRPr="003B0067" w14:paraId="538D9EB2" w14:textId="77777777" w:rsidTr="658BDDBE">
        <w:tc>
          <w:tcPr>
            <w:tcW w:w="9493" w:type="dxa"/>
          </w:tcPr>
          <w:p w14:paraId="354DDDE0" w14:textId="184164BF" w:rsidR="00E36884" w:rsidRPr="003B0067" w:rsidRDefault="00E36884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1A889172" w14:textId="77777777" w:rsidR="00212F5A" w:rsidRPr="003B0067" w:rsidRDefault="00212F5A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278E5C54" w14:textId="77777777" w:rsidR="00E36884" w:rsidRPr="003B0067" w:rsidRDefault="00E36884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04641515" w14:textId="65FCFB9F" w:rsidR="00D41575" w:rsidRPr="003B0067" w:rsidRDefault="00D41575" w:rsidP="000D5856">
            <w:pPr>
              <w:pStyle w:val="TableParagraph"/>
              <w:spacing w:before="47"/>
              <w:ind w:left="1964" w:right="1977"/>
              <w:jc w:val="center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  <w:r w:rsidRPr="003B0067"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  <w:t>TENDER</w:t>
            </w:r>
            <w:r w:rsidRPr="003B0067">
              <w:rPr>
                <w:rFonts w:asciiTheme="minorHAnsi" w:hAnsiTheme="minorHAnsi" w:cstheme="minorHAnsi"/>
                <w:b/>
                <w:color w:val="231F20"/>
                <w:spacing w:val="-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  <w:t>NOTICE</w:t>
            </w:r>
          </w:p>
          <w:p w14:paraId="59EE0C65" w14:textId="77777777" w:rsidR="005D10C2" w:rsidRPr="003B0067" w:rsidRDefault="005D10C2" w:rsidP="000D5856">
            <w:pPr>
              <w:pStyle w:val="TableParagraph"/>
              <w:spacing w:before="47"/>
              <w:ind w:left="1964" w:right="1977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003D9AEF" w14:textId="4483A931" w:rsidR="00D41575" w:rsidRPr="003B0067" w:rsidRDefault="00D41575" w:rsidP="00EC4761">
            <w:pPr>
              <w:pStyle w:val="TableParagraph"/>
              <w:spacing w:before="27" w:line="206" w:lineRule="auto"/>
              <w:ind w:left="46" w:right="22" w:hanging="2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The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International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Federation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of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Red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Cross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and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Red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Crescent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Societies</w:t>
            </w:r>
            <w:r w:rsidR="005D10C2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(IFRC)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,</w:t>
            </w:r>
            <w:r w:rsidRPr="003B0067">
              <w:rPr>
                <w:rFonts w:asciiTheme="minorHAnsi" w:hAnsiTheme="minorHAnsi" w:cstheme="minorHAnsi"/>
                <w:color w:val="231F20"/>
                <w:spacing w:val="1"/>
                <w:sz w:val="22"/>
              </w:rPr>
              <w:t xml:space="preserve"> </w:t>
            </w:r>
            <w:r w:rsidR="00A82308" w:rsidRPr="003B0067">
              <w:rPr>
                <w:rFonts w:asciiTheme="minorHAnsi" w:hAnsiTheme="minorHAnsi" w:cstheme="minorHAnsi"/>
                <w:color w:val="231F20"/>
                <w:sz w:val="22"/>
              </w:rPr>
              <w:t>Tajikistan</w:t>
            </w:r>
            <w:r w:rsidR="005D10C2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Country </w:t>
            </w:r>
            <w:r w:rsidR="0071389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Delegation </w:t>
            </w:r>
            <w:r w:rsidR="00713893"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>is</w:t>
            </w:r>
            <w:r w:rsidR="00260BA9"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pleased to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invite</w:t>
            </w:r>
            <w:r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bids</w:t>
            </w:r>
            <w:r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</w:t>
            </w:r>
            <w:r w:rsidR="005B2832" w:rsidRPr="003B0067">
              <w:rPr>
                <w:rFonts w:asciiTheme="minorHAnsi" w:hAnsiTheme="minorHAnsi" w:cstheme="minorHAnsi"/>
                <w:color w:val="231F20"/>
                <w:sz w:val="22"/>
              </w:rPr>
              <w:t>for</w:t>
            </w:r>
            <w:r w:rsidR="00A82308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D766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following </w:t>
            </w:r>
            <w:r w:rsidR="00456042">
              <w:rPr>
                <w:rFonts w:asciiTheme="minorHAnsi" w:hAnsiTheme="minorHAnsi" w:cstheme="minorHAnsi"/>
                <w:color w:val="231F20"/>
                <w:sz w:val="22"/>
              </w:rPr>
              <w:t>service</w:t>
            </w:r>
            <w:r w:rsidR="00D766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: </w:t>
            </w:r>
          </w:p>
          <w:p w14:paraId="00CE2685" w14:textId="77777777" w:rsidR="005D10C2" w:rsidRPr="003B0067" w:rsidRDefault="005D10C2" w:rsidP="00EC4761">
            <w:pPr>
              <w:pStyle w:val="TableParagraph"/>
              <w:spacing w:before="27" w:line="206" w:lineRule="auto"/>
              <w:ind w:left="46" w:right="22" w:hanging="2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tbl>
            <w:tblPr>
              <w:tblStyle w:val="TableGrid"/>
              <w:tblW w:w="9337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2340"/>
              <w:gridCol w:w="6210"/>
            </w:tblGrid>
            <w:tr w:rsidR="00AF504D" w:rsidRPr="003B0067" w14:paraId="7FE6607D" w14:textId="77777777" w:rsidTr="00B95979">
              <w:trPr>
                <w:trHeight w:val="210"/>
              </w:trPr>
              <w:tc>
                <w:tcPr>
                  <w:tcW w:w="787" w:type="dxa"/>
                  <w:shd w:val="clear" w:color="auto" w:fill="D9E2F3" w:themeFill="accent1" w:themeFillTint="33"/>
                  <w:vAlign w:val="center"/>
                </w:tcPr>
                <w:p w14:paraId="2D72DAF5" w14:textId="27AB11A8" w:rsidR="00AF504D" w:rsidRPr="003B0067" w:rsidRDefault="003B0067" w:rsidP="00895029">
                  <w:pPr>
                    <w:framePr w:hSpace="180" w:wrap="around" w:hAnchor="text" w:y="506"/>
                    <w:ind w:right="-675"/>
                    <w:rPr>
                      <w:rFonts w:cstheme="minorHAnsi"/>
                      <w:b/>
                      <w:sz w:val="22"/>
                    </w:rPr>
                  </w:pPr>
                  <w:bookmarkStart w:id="0" w:name="_Hlk155689932"/>
                  <w:r>
                    <w:rPr>
                      <w:rFonts w:cstheme="minorHAnsi"/>
                      <w:b/>
                      <w:sz w:val="22"/>
                      <w:lang w:val="en-US"/>
                    </w:rPr>
                    <w:t xml:space="preserve">Tender </w:t>
                  </w:r>
                  <w:r w:rsidR="00AF504D" w:rsidRPr="003B0067">
                    <w:rPr>
                      <w:rFonts w:cstheme="minorHAnsi"/>
                      <w:b/>
                      <w:sz w:val="22"/>
                    </w:rPr>
                    <w:t>No.</w:t>
                  </w:r>
                </w:p>
              </w:tc>
              <w:tc>
                <w:tcPr>
                  <w:tcW w:w="2340" w:type="dxa"/>
                  <w:shd w:val="clear" w:color="auto" w:fill="D9E2F3" w:themeFill="accent1" w:themeFillTint="33"/>
                  <w:vAlign w:val="center"/>
                </w:tcPr>
                <w:p w14:paraId="2A46A7B8" w14:textId="2E7E26D7" w:rsidR="00AF504D" w:rsidRPr="003B0067" w:rsidRDefault="00AF504D" w:rsidP="00895029">
                  <w:pPr>
                    <w:framePr w:hSpace="180" w:wrap="around" w:hAnchor="text" w:y="506"/>
                    <w:jc w:val="center"/>
                    <w:rPr>
                      <w:rFonts w:cstheme="minorHAnsi"/>
                      <w:b/>
                      <w:sz w:val="22"/>
                    </w:rPr>
                  </w:pPr>
                  <w:r w:rsidRPr="003B0067">
                    <w:rPr>
                      <w:rFonts w:eastAsia="Times New Roman" w:cstheme="minorHAnsi"/>
                      <w:b/>
                      <w:bCs/>
                      <w:color w:val="231F20"/>
                      <w:w w:val="120"/>
                      <w:sz w:val="22"/>
                      <w:lang w:val="en-US" w:eastAsia="en-GB"/>
                    </w:rPr>
                    <w:t>Tender Ref. No</w:t>
                  </w:r>
                </w:p>
              </w:tc>
              <w:tc>
                <w:tcPr>
                  <w:tcW w:w="6210" w:type="dxa"/>
                  <w:shd w:val="clear" w:color="auto" w:fill="D9E2F3" w:themeFill="accent1" w:themeFillTint="33"/>
                  <w:vAlign w:val="center"/>
                </w:tcPr>
                <w:p w14:paraId="21767A9A" w14:textId="272B15A6" w:rsidR="00AF504D" w:rsidRPr="003B0067" w:rsidRDefault="00640C1C" w:rsidP="00895029">
                  <w:pPr>
                    <w:framePr w:hSpace="180" w:wrap="around" w:hAnchor="text" w:y="506"/>
                    <w:ind w:left="-112" w:right="-104"/>
                    <w:jc w:val="center"/>
                    <w:rPr>
                      <w:rFonts w:cstheme="minorHAnsi"/>
                      <w:b/>
                      <w:sz w:val="22"/>
                    </w:rPr>
                  </w:pPr>
                  <w:r w:rsidRPr="003B0067">
                    <w:rPr>
                      <w:rFonts w:cstheme="minorHAnsi"/>
                      <w:b/>
                      <w:sz w:val="22"/>
                    </w:rPr>
                    <w:t xml:space="preserve">Tender Description </w:t>
                  </w:r>
                </w:p>
                <w:p w14:paraId="739D18F4" w14:textId="56918D8E" w:rsidR="00AF504D" w:rsidRPr="003B0067" w:rsidRDefault="00AF504D" w:rsidP="00895029">
                  <w:pPr>
                    <w:framePr w:hSpace="180" w:wrap="around" w:hAnchor="text" w:y="506"/>
                    <w:ind w:left="-112" w:right="-104"/>
                    <w:jc w:val="center"/>
                    <w:rPr>
                      <w:rFonts w:cstheme="minorHAnsi"/>
                      <w:b/>
                      <w:sz w:val="22"/>
                    </w:rPr>
                  </w:pPr>
                </w:p>
              </w:tc>
            </w:tr>
            <w:tr w:rsidR="00A82308" w:rsidRPr="003B0067" w14:paraId="2BB0FA21" w14:textId="77777777" w:rsidTr="00B95979">
              <w:trPr>
                <w:trHeight w:val="420"/>
              </w:trPr>
              <w:tc>
                <w:tcPr>
                  <w:tcW w:w="787" w:type="dxa"/>
                  <w:vAlign w:val="center"/>
                </w:tcPr>
                <w:p w14:paraId="7276971C" w14:textId="4260AA51" w:rsidR="00A82308" w:rsidRPr="007271BB" w:rsidRDefault="00407502" w:rsidP="00895029">
                  <w:pPr>
                    <w:framePr w:hSpace="180" w:wrap="around" w:hAnchor="text" w:y="506"/>
                    <w:ind w:right="-103"/>
                    <w:jc w:val="center"/>
                    <w:rPr>
                      <w:rFonts w:cstheme="minorHAnsi"/>
                      <w:bCs/>
                      <w:sz w:val="22"/>
                    </w:rPr>
                  </w:pPr>
                  <w:r>
                    <w:rPr>
                      <w:rFonts w:cstheme="minorHAnsi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2340" w:type="dxa"/>
                  <w:vAlign w:val="center"/>
                </w:tcPr>
                <w:p w14:paraId="4A8FF579" w14:textId="30D04290" w:rsidR="00A82308" w:rsidRPr="007271BB" w:rsidRDefault="00A82308" w:rsidP="00895029">
                  <w:pPr>
                    <w:framePr w:hSpace="180" w:wrap="around" w:hAnchor="text" w:y="506"/>
                    <w:ind w:right="-108"/>
                    <w:jc w:val="center"/>
                    <w:rPr>
                      <w:rFonts w:cstheme="minorHAnsi"/>
                      <w:sz w:val="22"/>
                    </w:rPr>
                  </w:pPr>
                  <w:r w:rsidRPr="007271BB">
                    <w:rPr>
                      <w:rFonts w:cstheme="minorHAnsi"/>
                      <w:sz w:val="22"/>
                    </w:rPr>
                    <w:t>IFRC-TJK_RFQ-202</w:t>
                  </w:r>
                  <w:r w:rsidR="00407502">
                    <w:rPr>
                      <w:rFonts w:cstheme="minorHAnsi"/>
                      <w:sz w:val="22"/>
                    </w:rPr>
                    <w:t>5</w:t>
                  </w:r>
                  <w:r w:rsidRPr="007271BB">
                    <w:rPr>
                      <w:rFonts w:cstheme="minorHAnsi"/>
                      <w:sz w:val="22"/>
                    </w:rPr>
                    <w:t>-0</w:t>
                  </w:r>
                  <w:r w:rsidR="00681D0A">
                    <w:rPr>
                      <w:rFonts w:cstheme="minorHAnsi"/>
                      <w:sz w:val="22"/>
                    </w:rPr>
                    <w:t>2</w:t>
                  </w:r>
                  <w:r w:rsidR="00895029">
                    <w:rPr>
                      <w:rFonts w:cstheme="minorHAnsi"/>
                      <w:sz w:val="22"/>
                    </w:rPr>
                    <w:t>8</w:t>
                  </w:r>
                </w:p>
              </w:tc>
              <w:tc>
                <w:tcPr>
                  <w:tcW w:w="6210" w:type="dxa"/>
                  <w:vAlign w:val="center"/>
                </w:tcPr>
                <w:p w14:paraId="0FC8F6CE" w14:textId="5C3ED9A0" w:rsidR="00A82308" w:rsidRPr="007271BB" w:rsidRDefault="000347E3" w:rsidP="00496280">
                  <w:pPr>
                    <w:framePr w:hSpace="180" w:wrap="around" w:hAnchor="text" w:y="506"/>
                    <w:ind w:right="-245"/>
                    <w:rPr>
                      <w:rFonts w:cstheme="minorHAnsi"/>
                      <w:bCs/>
                      <w:sz w:val="22"/>
                    </w:rPr>
                  </w:pPr>
                  <w:r>
                    <w:rPr>
                      <w:rFonts w:cstheme="minorHAnsi"/>
                      <w:bCs/>
                      <w:sz w:val="22"/>
                    </w:rPr>
                    <w:t>T</w:t>
                  </w:r>
                  <w:r w:rsidRPr="000347E3">
                    <w:rPr>
                      <w:rFonts w:cstheme="minorHAnsi"/>
                      <w:bCs/>
                      <w:sz w:val="22"/>
                    </w:rPr>
                    <w:t xml:space="preserve">ransportation </w:t>
                  </w:r>
                  <w:r w:rsidR="00B95979">
                    <w:rPr>
                      <w:rFonts w:cstheme="minorHAnsi"/>
                      <w:bCs/>
                      <w:sz w:val="22"/>
                    </w:rPr>
                    <w:t>of</w:t>
                  </w:r>
                  <w:r w:rsidRPr="000347E3">
                    <w:rPr>
                      <w:rFonts w:cstheme="minorHAnsi"/>
                      <w:bCs/>
                      <w:sz w:val="22"/>
                    </w:rPr>
                    <w:t xml:space="preserve"> </w:t>
                  </w:r>
                  <w:r w:rsidR="00C903BE">
                    <w:rPr>
                      <w:rFonts w:cstheme="minorHAnsi"/>
                      <w:bCs/>
                      <w:sz w:val="22"/>
                    </w:rPr>
                    <w:t>second-hand</w:t>
                  </w:r>
                  <w:r w:rsidR="00895029">
                    <w:rPr>
                      <w:rFonts w:cstheme="minorHAnsi"/>
                      <w:bCs/>
                      <w:sz w:val="22"/>
                    </w:rPr>
                    <w:t xml:space="preserve"> items </w:t>
                  </w:r>
                  <w:r w:rsidRPr="000347E3">
                    <w:rPr>
                      <w:rFonts w:cstheme="minorHAnsi"/>
                      <w:bCs/>
                      <w:sz w:val="22"/>
                    </w:rPr>
                    <w:t>from the NS central warehouse in Dushanbe to Rasht</w:t>
                  </w:r>
                  <w:r w:rsidR="00895029">
                    <w:rPr>
                      <w:rFonts w:cstheme="minorHAnsi"/>
                      <w:bCs/>
                      <w:sz w:val="22"/>
                    </w:rPr>
                    <w:t xml:space="preserve">, </w:t>
                  </w:r>
                  <w:proofErr w:type="spellStart"/>
                  <w:r w:rsidR="00895029">
                    <w:rPr>
                      <w:rFonts w:cstheme="minorHAnsi"/>
                      <w:bCs/>
                      <w:sz w:val="22"/>
                    </w:rPr>
                    <w:t>Khorugh</w:t>
                  </w:r>
                  <w:proofErr w:type="spellEnd"/>
                  <w:r w:rsidR="0043376C">
                    <w:rPr>
                      <w:rFonts w:cstheme="minorHAnsi"/>
                      <w:bCs/>
                      <w:sz w:val="22"/>
                    </w:rPr>
                    <w:t xml:space="preserve"> (GBAO)</w:t>
                  </w:r>
                  <w:r w:rsidR="00C903BE">
                    <w:rPr>
                      <w:rFonts w:cstheme="minorHAnsi"/>
                      <w:bCs/>
                      <w:sz w:val="22"/>
                    </w:rPr>
                    <w:t xml:space="preserve"> and Kulob</w:t>
                  </w:r>
                </w:p>
              </w:tc>
            </w:tr>
            <w:bookmarkEnd w:id="0"/>
          </w:tbl>
          <w:p w14:paraId="7627F3B0" w14:textId="3212CC3A" w:rsidR="00D41575" w:rsidRPr="002C0A8C" w:rsidRDefault="00D41575" w:rsidP="00D76623">
            <w:pPr>
              <w:pStyle w:val="TableParagraph"/>
              <w:spacing w:before="47" w:line="194" w:lineRule="auto"/>
              <w:ind w:left="0" w:right="17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p w14:paraId="2F7A61CD" w14:textId="67FA9CD7" w:rsidR="007F1C92" w:rsidRPr="003B0067" w:rsidRDefault="008D3082" w:rsidP="00106867">
            <w:pPr>
              <w:pStyle w:val="TableParagraph"/>
              <w:spacing w:before="46" w:line="204" w:lineRule="auto"/>
              <w:ind w:left="0" w:right="50"/>
              <w:jc w:val="both"/>
              <w:rPr>
                <w:rFonts w:asciiTheme="minorHAnsi" w:hAnsiTheme="minorHAnsi" w:cstheme="minorHAnsi"/>
                <w:color w:val="231F20"/>
                <w:spacing w:val="-4"/>
                <w:sz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lang w:val="en-GB"/>
              </w:rPr>
              <w:t>T</w:t>
            </w:r>
            <w:r w:rsidR="00553EE9" w:rsidRPr="003B0067">
              <w:rPr>
                <w:rFonts w:asciiTheme="minorHAnsi" w:hAnsiTheme="minorHAnsi" w:cstheme="minorHAnsi"/>
                <w:color w:val="231F20"/>
                <w:sz w:val="22"/>
              </w:rPr>
              <w:t>he T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ender documents containing </w:t>
            </w:r>
            <w:r w:rsidR="00AF504D" w:rsidRPr="003B0067">
              <w:rPr>
                <w:rFonts w:asciiTheme="minorHAnsi" w:hAnsiTheme="minorHAnsi" w:cstheme="minorHAnsi"/>
                <w:color w:val="231F20"/>
                <w:sz w:val="22"/>
              </w:rPr>
              <w:t>RFQ, Specification, Pricing Template, Terms and condition</w:t>
            </w:r>
            <w:r w:rsidR="00553EE9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will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be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available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from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the date 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of this 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tender notice publication 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and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until</w:t>
            </w:r>
            <w:r w:rsidR="00EF79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AE7231" w:rsidRPr="00AE7231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2</w:t>
            </w:r>
            <w:r w:rsidR="00080C21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8</w:t>
            </w:r>
            <w:r w:rsidR="004E2350" w:rsidRPr="00AE7231">
              <w:rPr>
                <w:rFonts w:asciiTheme="minorHAnsi" w:hAnsiTheme="minorHAnsi" w:cstheme="minorHAnsi"/>
                <w:b/>
                <w:bCs/>
                <w:color w:val="231F20"/>
                <w:sz w:val="22"/>
                <w:vertAlign w:val="superscript"/>
              </w:rPr>
              <w:t>th</w:t>
            </w:r>
            <w:r w:rsidR="004E2350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 of</w:t>
            </w:r>
            <w:r w:rsidR="00640C1C" w:rsidRPr="003B0067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 </w:t>
            </w:r>
            <w:r w:rsidR="002D47DA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May</w:t>
            </w:r>
            <w:r w:rsidR="00640C1C" w:rsidRPr="003B0067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 </w:t>
            </w:r>
            <w:r w:rsidR="00EF7923" w:rsidRPr="003B0067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202</w:t>
            </w:r>
            <w:r w:rsidR="004E2350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5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>.</w:t>
            </w:r>
          </w:p>
          <w:p w14:paraId="49EF1AC1" w14:textId="77777777" w:rsidR="00EF287D" w:rsidRPr="003B0067" w:rsidRDefault="00EF287D" w:rsidP="00106867">
            <w:pPr>
              <w:pStyle w:val="TableParagraph"/>
              <w:spacing w:before="46" w:line="204" w:lineRule="auto"/>
              <w:ind w:left="0" w:right="50"/>
              <w:jc w:val="both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</w:p>
          <w:p w14:paraId="1236FB86" w14:textId="4F970942" w:rsidR="006532D1" w:rsidRPr="003B0067" w:rsidRDefault="00D41575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w w:val="105"/>
                <w:sz w:val="22"/>
              </w:rPr>
            </w:pP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The</w:t>
            </w:r>
            <w:r w:rsidRPr="003B0067">
              <w:rPr>
                <w:rFonts w:asciiTheme="minorHAnsi" w:hAnsiTheme="minorHAnsi" w:cstheme="minorHAnsi"/>
                <w:color w:val="231F20"/>
                <w:spacing w:val="43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tender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documents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can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be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requested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by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email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to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hyperlink r:id="rId9" w:history="1">
              <w:r w:rsidR="00AF504D" w:rsidRPr="003B0067">
                <w:rPr>
                  <w:rStyle w:val="Hyperlink"/>
                  <w:rFonts w:asciiTheme="minorHAnsi" w:hAnsiTheme="minorHAnsi" w:cstheme="minorHAnsi"/>
                  <w:sz w:val="22"/>
                </w:rPr>
                <w:t>vafo.hamroi@ifrc.org</w:t>
              </w:r>
            </w:hyperlink>
            <w:r w:rsidR="00713893" w:rsidRPr="003B006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D10C2" w:rsidRPr="003B0067">
              <w:rPr>
                <w:rFonts w:asciiTheme="minorHAnsi" w:hAnsiTheme="minorHAnsi" w:cstheme="minorHAnsi"/>
                <w:sz w:val="22"/>
              </w:rPr>
              <w:t xml:space="preserve"> copying </w:t>
            </w:r>
            <w:hyperlink r:id="rId10" w:history="1">
              <w:r w:rsidR="00C136E4">
                <w:rPr>
                  <w:rStyle w:val="Hyperlink"/>
                  <w:rFonts w:asciiTheme="minorHAnsi" w:hAnsiTheme="minorHAnsi" w:cstheme="minorHAnsi"/>
                  <w:sz w:val="22"/>
                </w:rPr>
                <w:t>david.macharashvili@ifrc.org</w:t>
              </w:r>
            </w:hyperlink>
            <w:r w:rsidR="005D10C2" w:rsidRPr="003B0067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The email subject should have </w:t>
            </w:r>
            <w:r w:rsidR="348B3ED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a tender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reference</w:t>
            </w:r>
            <w:r w:rsidR="00D76623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number and name of work mentioned above.</w:t>
            </w:r>
          </w:p>
          <w:p w14:paraId="45D1E49E" w14:textId="10ADEACF" w:rsidR="00553EE9" w:rsidRPr="003B0067" w:rsidRDefault="00553EE9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w w:val="105"/>
                <w:sz w:val="22"/>
              </w:rPr>
            </w:pPr>
          </w:p>
          <w:p w14:paraId="0DE076EB" w14:textId="547B0299" w:rsidR="00553EE9" w:rsidRPr="003B0067" w:rsidRDefault="00E37C62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Interested</w:t>
            </w:r>
            <w:proofErr w:type="gramEnd"/>
            <w:r w:rsidR="00553EE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supplier, having similar experience, can request </w:t>
            </w:r>
            <w:proofErr w:type="gramStart"/>
            <w:r w:rsidR="00553EE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tender</w:t>
            </w:r>
            <w:proofErr w:type="gramEnd"/>
            <w:r w:rsidR="00553EE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document for one or 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more than one </w:t>
            </w:r>
            <w:proofErr w:type="gramStart"/>
            <w:r w:rsidR="00553EE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item</w:t>
            </w:r>
            <w:proofErr w:type="gramEnd"/>
            <w:r w:rsidR="00553EE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categories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outlined above. However, supplier must have at least </w:t>
            </w:r>
            <w:r w:rsidR="008D3082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3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years of experience with proper office setup and necessary legal docs with trade license.  </w:t>
            </w:r>
            <w:r w:rsidR="00553EE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   </w:t>
            </w:r>
          </w:p>
          <w:p w14:paraId="43668832" w14:textId="2F7144CE" w:rsidR="006532D1" w:rsidRPr="003B0067" w:rsidRDefault="006532D1" w:rsidP="00106867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p w14:paraId="52090432" w14:textId="5A51AF8A" w:rsidR="00713893" w:rsidRPr="003B0067" w:rsidRDefault="00713893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The bids </w:t>
            </w:r>
            <w:r w:rsidR="002D47DA" w:rsidRPr="003B0067">
              <w:rPr>
                <w:rFonts w:asciiTheme="minorHAnsi" w:hAnsiTheme="minorHAnsi" w:cstheme="minorHAnsi"/>
                <w:sz w:val="22"/>
                <w:szCs w:val="22"/>
              </w:rPr>
              <w:t>containing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 the complete </w:t>
            </w:r>
            <w:r w:rsid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AF504D"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ffer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504D"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>sealed envelopes</w:t>
            </w:r>
            <w:r w:rsidR="008D3082">
              <w:rPr>
                <w:rFonts w:asciiTheme="minorHAnsi" w:hAnsiTheme="minorHAnsi" w:cstheme="minorHAnsi"/>
                <w:sz w:val="22"/>
                <w:szCs w:val="22"/>
              </w:rPr>
              <w:t xml:space="preserve"> must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 be received at the IFRC office 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at 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>120 Umar Khayam Street, 3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rd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Floor</w:t>
            </w:r>
            <w:r w:rsidR="00707844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IFRC Logistics and Procurement unit</w:t>
            </w:r>
            <w:r w:rsidR="00707844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 </w:t>
            </w:r>
            <w:r w:rsidR="00080C21" w:rsidRPr="00080C21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 w:rsidR="003F74D0" w:rsidRPr="00080C2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3F74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C084A" w:rsidRPr="00AC084A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r w:rsidR="00707844" w:rsidRPr="003B00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D47DA">
              <w:rPr>
                <w:rFonts w:asciiTheme="minorHAnsi" w:hAnsiTheme="minorHAnsi" w:cstheme="minorHAnsi"/>
                <w:b/>
                <w:sz w:val="22"/>
                <w:szCs w:val="22"/>
              </w:rPr>
              <w:t>May</w:t>
            </w:r>
            <w:r w:rsidRPr="003B00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202</w:t>
            </w:r>
            <w:r w:rsidR="00AC084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5</w:t>
            </w:r>
            <w:r w:rsidRPr="003B00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,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92B59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>between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09</w:t>
            </w:r>
            <w:r w:rsidR="00BF5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 hrs. to 1</w:t>
            </w:r>
            <w:r w:rsidR="00AC0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BF5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 hrs.</w:t>
            </w:r>
            <w:r w:rsidRPr="003B00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EF2C81B" w14:textId="77777777" w:rsidR="00713893" w:rsidRPr="003B0067" w:rsidRDefault="00713893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5F0D6F" w14:textId="52F7241C" w:rsidR="00837980" w:rsidRPr="003B0067" w:rsidRDefault="00837980" w:rsidP="00837980">
            <w:pPr>
              <w:jc w:val="both"/>
              <w:rPr>
                <w:rFonts w:cstheme="minorHAnsi"/>
                <w:sz w:val="22"/>
              </w:rPr>
            </w:pPr>
            <w:r w:rsidRPr="003B0067">
              <w:rPr>
                <w:rFonts w:cstheme="minorHAnsi"/>
                <w:sz w:val="22"/>
              </w:rPr>
              <w:t xml:space="preserve">For any enquiries, you can reach to Mr. Vafo </w:t>
            </w:r>
            <w:proofErr w:type="spellStart"/>
            <w:r w:rsidRPr="003B0067">
              <w:rPr>
                <w:rFonts w:cstheme="minorHAnsi"/>
                <w:sz w:val="22"/>
              </w:rPr>
              <w:t>Hamroi</w:t>
            </w:r>
            <w:proofErr w:type="spellEnd"/>
            <w:r w:rsidRPr="003B0067">
              <w:rPr>
                <w:rFonts w:cstheme="minorHAnsi"/>
                <w:sz w:val="22"/>
              </w:rPr>
              <w:t xml:space="preserve"> </w:t>
            </w:r>
            <w:r w:rsidR="00707844" w:rsidRPr="003B0067">
              <w:rPr>
                <w:rFonts w:cstheme="minorHAnsi"/>
                <w:sz w:val="22"/>
              </w:rPr>
              <w:t xml:space="preserve">via email </w:t>
            </w:r>
            <w:r w:rsidRPr="003B0067">
              <w:rPr>
                <w:rFonts w:cstheme="minorHAnsi"/>
                <w:sz w:val="22"/>
              </w:rPr>
              <w:t xml:space="preserve">@ </w:t>
            </w:r>
            <w:hyperlink r:id="rId11" w:history="1">
              <w:r w:rsidR="003B0067" w:rsidRPr="003B0067">
                <w:rPr>
                  <w:rStyle w:val="Hyperlink"/>
                  <w:rFonts w:cstheme="minorHAnsi"/>
                  <w:sz w:val="22"/>
                </w:rPr>
                <w:t>vafo.hamroi@ifrc.org</w:t>
              </w:r>
            </w:hyperlink>
            <w:r w:rsidRPr="003B0067">
              <w:rPr>
                <w:rFonts w:cstheme="minorHAnsi"/>
                <w:sz w:val="22"/>
              </w:rPr>
              <w:t xml:space="preserve"> and copying </w:t>
            </w:r>
            <w:hyperlink r:id="rId12" w:history="1">
              <w:r w:rsidR="009568D0">
                <w:rPr>
                  <w:rStyle w:val="Hyperlink"/>
                  <w:rFonts w:cstheme="minorHAnsi"/>
                  <w:sz w:val="22"/>
                </w:rPr>
                <w:t>david.macharashvili@ifrc.org</w:t>
              </w:r>
            </w:hyperlink>
            <w:r w:rsidRPr="003B0067">
              <w:rPr>
                <w:rFonts w:cstheme="minorHAnsi"/>
                <w:sz w:val="22"/>
              </w:rPr>
              <w:t>. The email subject should have a tender reference number and name of work mentioned above.</w:t>
            </w:r>
          </w:p>
          <w:p w14:paraId="57CEC4C1" w14:textId="77777777" w:rsidR="00837980" w:rsidRPr="003B0067" w:rsidRDefault="00837980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F39AC4" w14:textId="77777777" w:rsidR="00713893" w:rsidRPr="003B0067" w:rsidRDefault="00713893" w:rsidP="00713893">
            <w:pPr>
              <w:rPr>
                <w:rFonts w:cstheme="minorHAnsi"/>
                <w:bCs/>
                <w:i/>
                <w:iCs/>
                <w:sz w:val="22"/>
              </w:rPr>
            </w:pPr>
            <w:r w:rsidRPr="003B0067">
              <w:rPr>
                <w:rFonts w:cstheme="minorHAnsi"/>
                <w:bCs/>
                <w:i/>
                <w:sz w:val="22"/>
              </w:rPr>
              <w:t xml:space="preserve">The IFRC reserves the right to accept or reject any or all the offers without assigning any reason whatsoever and is not bound to accept the lowest bid. </w:t>
            </w:r>
          </w:p>
          <w:p w14:paraId="5684F458" w14:textId="77777777" w:rsidR="00713893" w:rsidRPr="003B0067" w:rsidRDefault="00713893" w:rsidP="00713893">
            <w:pPr>
              <w:rPr>
                <w:rFonts w:cstheme="minorHAnsi"/>
                <w:sz w:val="22"/>
              </w:rPr>
            </w:pPr>
          </w:p>
          <w:p w14:paraId="459EB514" w14:textId="77777777" w:rsidR="00713893" w:rsidRPr="003B0067" w:rsidRDefault="00713893" w:rsidP="00713893">
            <w:pPr>
              <w:rPr>
                <w:rFonts w:cstheme="minorHAnsi"/>
                <w:b/>
                <w:bCs/>
                <w:sz w:val="22"/>
              </w:rPr>
            </w:pPr>
            <w:r w:rsidRPr="003B0067">
              <w:rPr>
                <w:rFonts w:cstheme="minorHAnsi"/>
                <w:b/>
                <w:bCs/>
                <w:sz w:val="22"/>
              </w:rPr>
              <w:t>Head of Country Delegation</w:t>
            </w:r>
          </w:p>
          <w:p w14:paraId="7CCA030F" w14:textId="163C5A0B" w:rsidR="00713893" w:rsidRPr="003B0067" w:rsidRDefault="00713893" w:rsidP="00713893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sz w:val="22"/>
              </w:rPr>
            </w:pPr>
            <w:r w:rsidRPr="003B0067">
              <w:rPr>
                <w:rFonts w:asciiTheme="minorHAnsi" w:hAnsiTheme="minorHAnsi" w:cstheme="minorHAnsi"/>
                <w:sz w:val="22"/>
              </w:rPr>
              <w:t xml:space="preserve">International Federation of Red Cross and Red Crescent Societies, </w:t>
            </w:r>
            <w:r w:rsidR="00A35773" w:rsidRPr="003B0067">
              <w:rPr>
                <w:rFonts w:asciiTheme="minorHAnsi" w:hAnsiTheme="minorHAnsi" w:cstheme="minorHAnsi"/>
                <w:sz w:val="22"/>
              </w:rPr>
              <w:t>Tajikistan</w:t>
            </w:r>
            <w:r w:rsidRPr="003B0067">
              <w:rPr>
                <w:rFonts w:asciiTheme="minorHAnsi" w:hAnsiTheme="minorHAnsi" w:cstheme="minorHAnsi"/>
                <w:sz w:val="22"/>
              </w:rPr>
              <w:t xml:space="preserve">  </w:t>
            </w:r>
          </w:p>
          <w:p w14:paraId="6BDE25CC" w14:textId="78D407EA" w:rsidR="00CC0A71" w:rsidRPr="003B0067" w:rsidRDefault="00713893" w:rsidP="658BDDBE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  <w:r w:rsidRPr="003B0067">
              <w:rPr>
                <w:rFonts w:asciiTheme="minorHAnsi" w:hAnsiTheme="minorHAnsi" w:cstheme="minorHAnsi"/>
                <w:sz w:val="22"/>
              </w:rPr>
              <w:t xml:space="preserve">Date: </w:t>
            </w:r>
            <w:r w:rsidR="00200F45">
              <w:rPr>
                <w:rFonts w:asciiTheme="minorHAnsi" w:hAnsiTheme="minorHAnsi" w:cstheme="minorHAnsi"/>
                <w:sz w:val="22"/>
              </w:rPr>
              <w:t>15</w:t>
            </w:r>
            <w:r w:rsidR="00200F45" w:rsidRPr="00200F45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 w:rsidR="00200F4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568D0">
              <w:rPr>
                <w:rFonts w:asciiTheme="minorHAnsi" w:hAnsiTheme="minorHAnsi" w:cstheme="minorHAnsi"/>
                <w:sz w:val="22"/>
              </w:rPr>
              <w:t>of</w:t>
            </w:r>
            <w:r w:rsidR="00707844" w:rsidRPr="003B006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C30FE">
              <w:rPr>
                <w:rFonts w:asciiTheme="minorHAnsi" w:hAnsiTheme="minorHAnsi" w:cstheme="minorHAnsi"/>
                <w:sz w:val="22"/>
              </w:rPr>
              <w:t>Ma</w:t>
            </w:r>
            <w:r w:rsidR="00B92B59">
              <w:rPr>
                <w:rFonts w:asciiTheme="minorHAnsi" w:hAnsiTheme="minorHAnsi" w:cstheme="minorHAnsi"/>
                <w:sz w:val="22"/>
              </w:rPr>
              <w:t>y</w:t>
            </w:r>
            <w:r w:rsidR="00707844" w:rsidRPr="003B006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sz w:val="22"/>
              </w:rPr>
              <w:t>202</w:t>
            </w:r>
            <w:r w:rsidR="009568D0">
              <w:rPr>
                <w:rFonts w:asciiTheme="minorHAnsi" w:hAnsiTheme="minorHAnsi" w:cstheme="minorHAnsi"/>
                <w:sz w:val="22"/>
              </w:rPr>
              <w:t>5</w:t>
            </w:r>
          </w:p>
          <w:p w14:paraId="21EE71BA" w14:textId="1D5B8E16" w:rsidR="00D41575" w:rsidRPr="003B0067" w:rsidRDefault="00D41575" w:rsidP="00713893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i/>
                <w:iCs/>
                <w:color w:val="231F20"/>
                <w:sz w:val="22"/>
              </w:rPr>
            </w:pPr>
          </w:p>
        </w:tc>
      </w:tr>
    </w:tbl>
    <w:p w14:paraId="185A850D" w14:textId="7BB1DBAB" w:rsidR="00033C70" w:rsidRPr="003B0067" w:rsidRDefault="00033C70" w:rsidP="00AE55BB">
      <w:pPr>
        <w:tabs>
          <w:tab w:val="left" w:pos="1920"/>
        </w:tabs>
        <w:rPr>
          <w:rFonts w:eastAsia="Times New Roman" w:cstheme="minorHAnsi"/>
          <w:color w:val="231F20"/>
          <w:lang w:val="en-US"/>
        </w:rPr>
      </w:pPr>
    </w:p>
    <w:sectPr w:rsidR="00033C70" w:rsidRPr="003B006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8AAE5" w14:textId="77777777" w:rsidR="009C7D43" w:rsidRDefault="009C7D43" w:rsidP="00733799">
      <w:pPr>
        <w:spacing w:after="0" w:line="240" w:lineRule="auto"/>
      </w:pPr>
      <w:r>
        <w:separator/>
      </w:r>
    </w:p>
  </w:endnote>
  <w:endnote w:type="continuationSeparator" w:id="0">
    <w:p w14:paraId="5BB44B28" w14:textId="77777777" w:rsidR="009C7D43" w:rsidRDefault="009C7D43" w:rsidP="0073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7A372" w14:textId="729E4895" w:rsidR="00733799" w:rsidRDefault="0043376C">
    <w:pPr>
      <w:pStyle w:val="Footer"/>
    </w:pPr>
    <w:r>
      <w:rPr>
        <w:noProof/>
      </w:rPr>
      <w:pict w14:anchorId="67B6F402">
        <v:shapetype id="_x0000_t202" coordsize="21600,21600" o:spt="202" path="m,l,21600r21600,l21600,xe">
          <v:stroke joinstyle="miter"/>
          <v:path gradientshapeok="t" o:connecttype="rect"/>
        </v:shapetype>
        <v:shape id="MSIPCMd6d04a819f7e43ea16186f12" o:spid="_x0000_s1025" type="#_x0000_t202" alt="{&quot;HashCode&quot;:-454365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<v:textbox inset="20pt,0,,0">
            <w:txbxContent>
              <w:p w14:paraId="59D92464" w14:textId="21508B5D" w:rsidR="00733799" w:rsidRPr="00733799" w:rsidRDefault="00733799" w:rsidP="00733799">
                <w:pPr>
                  <w:spacing w:after="0"/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733799">
                  <w:rPr>
                    <w:rFonts w:ascii="Calibri" w:hAnsi="Calibri" w:cs="Calibri"/>
                    <w:color w:val="000000"/>
                    <w:sz w:val="20"/>
                  </w:rPr>
                  <w:t>Public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AC072" w14:textId="77777777" w:rsidR="009C7D43" w:rsidRDefault="009C7D43" w:rsidP="00733799">
      <w:pPr>
        <w:spacing w:after="0" w:line="240" w:lineRule="auto"/>
      </w:pPr>
      <w:r>
        <w:separator/>
      </w:r>
    </w:p>
  </w:footnote>
  <w:footnote w:type="continuationSeparator" w:id="0">
    <w:p w14:paraId="7D187C85" w14:textId="77777777" w:rsidR="009C7D43" w:rsidRDefault="009C7D43" w:rsidP="0073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92E60"/>
    <w:multiLevelType w:val="hybridMultilevel"/>
    <w:tmpl w:val="13D2D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70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EF7"/>
    <w:rsid w:val="000019A5"/>
    <w:rsid w:val="000141F8"/>
    <w:rsid w:val="00033C70"/>
    <w:rsid w:val="000347E3"/>
    <w:rsid w:val="00042E28"/>
    <w:rsid w:val="00063538"/>
    <w:rsid w:val="00063564"/>
    <w:rsid w:val="00063767"/>
    <w:rsid w:val="00080C21"/>
    <w:rsid w:val="00092647"/>
    <w:rsid w:val="000A6AEB"/>
    <w:rsid w:val="000B0502"/>
    <w:rsid w:val="000C60A7"/>
    <w:rsid w:val="000D5856"/>
    <w:rsid w:val="000E5EB3"/>
    <w:rsid w:val="000E7C0A"/>
    <w:rsid w:val="000F3A97"/>
    <w:rsid w:val="000F4CDF"/>
    <w:rsid w:val="00101F79"/>
    <w:rsid w:val="00105B1F"/>
    <w:rsid w:val="00106867"/>
    <w:rsid w:val="00122024"/>
    <w:rsid w:val="00140837"/>
    <w:rsid w:val="001415FA"/>
    <w:rsid w:val="0014263F"/>
    <w:rsid w:val="00142C0A"/>
    <w:rsid w:val="001762B9"/>
    <w:rsid w:val="00192636"/>
    <w:rsid w:val="001947D3"/>
    <w:rsid w:val="001A3AF1"/>
    <w:rsid w:val="001A4722"/>
    <w:rsid w:val="001B24E0"/>
    <w:rsid w:val="001C0248"/>
    <w:rsid w:val="001C4EA9"/>
    <w:rsid w:val="001D25CA"/>
    <w:rsid w:val="001F33E5"/>
    <w:rsid w:val="00200F45"/>
    <w:rsid w:val="00201BD6"/>
    <w:rsid w:val="002118BD"/>
    <w:rsid w:val="00212F5A"/>
    <w:rsid w:val="00223A50"/>
    <w:rsid w:val="00260BA9"/>
    <w:rsid w:val="002800A0"/>
    <w:rsid w:val="002804E6"/>
    <w:rsid w:val="002830FB"/>
    <w:rsid w:val="00285B61"/>
    <w:rsid w:val="00291DAA"/>
    <w:rsid w:val="002A2690"/>
    <w:rsid w:val="002C0A8C"/>
    <w:rsid w:val="002D0080"/>
    <w:rsid w:val="002D47DA"/>
    <w:rsid w:val="002D5079"/>
    <w:rsid w:val="002E0803"/>
    <w:rsid w:val="002E53D4"/>
    <w:rsid w:val="002F5718"/>
    <w:rsid w:val="00344A62"/>
    <w:rsid w:val="003472B5"/>
    <w:rsid w:val="003764B7"/>
    <w:rsid w:val="00391D9B"/>
    <w:rsid w:val="003A0E63"/>
    <w:rsid w:val="003B0067"/>
    <w:rsid w:val="003B4B52"/>
    <w:rsid w:val="003D44DF"/>
    <w:rsid w:val="003F409D"/>
    <w:rsid w:val="003F74D0"/>
    <w:rsid w:val="00407502"/>
    <w:rsid w:val="00425D2A"/>
    <w:rsid w:val="004264FF"/>
    <w:rsid w:val="004321A0"/>
    <w:rsid w:val="0043376C"/>
    <w:rsid w:val="00436301"/>
    <w:rsid w:val="00453C00"/>
    <w:rsid w:val="00456042"/>
    <w:rsid w:val="00457F4F"/>
    <w:rsid w:val="0046068F"/>
    <w:rsid w:val="00486551"/>
    <w:rsid w:val="00491144"/>
    <w:rsid w:val="00496280"/>
    <w:rsid w:val="004B2678"/>
    <w:rsid w:val="004C4F7C"/>
    <w:rsid w:val="004D122C"/>
    <w:rsid w:val="004D69B3"/>
    <w:rsid w:val="004E2350"/>
    <w:rsid w:val="00516D32"/>
    <w:rsid w:val="005240A2"/>
    <w:rsid w:val="00524F9B"/>
    <w:rsid w:val="00526E48"/>
    <w:rsid w:val="00531CED"/>
    <w:rsid w:val="00553EE9"/>
    <w:rsid w:val="00556DB8"/>
    <w:rsid w:val="0056047E"/>
    <w:rsid w:val="00560B1F"/>
    <w:rsid w:val="00596F9C"/>
    <w:rsid w:val="005B2832"/>
    <w:rsid w:val="005B32F0"/>
    <w:rsid w:val="005B3BA2"/>
    <w:rsid w:val="005B4DE8"/>
    <w:rsid w:val="005B64AC"/>
    <w:rsid w:val="005D10C2"/>
    <w:rsid w:val="005F0088"/>
    <w:rsid w:val="005F5071"/>
    <w:rsid w:val="005F6FA4"/>
    <w:rsid w:val="0062261B"/>
    <w:rsid w:val="00640C1C"/>
    <w:rsid w:val="00641D3B"/>
    <w:rsid w:val="00644ECE"/>
    <w:rsid w:val="006500A8"/>
    <w:rsid w:val="006532D1"/>
    <w:rsid w:val="0066489F"/>
    <w:rsid w:val="00667E7E"/>
    <w:rsid w:val="00681D0A"/>
    <w:rsid w:val="006847F5"/>
    <w:rsid w:val="006A62FD"/>
    <w:rsid w:val="006B6042"/>
    <w:rsid w:val="006C1392"/>
    <w:rsid w:val="006C28A2"/>
    <w:rsid w:val="006D1D34"/>
    <w:rsid w:val="006D6D4D"/>
    <w:rsid w:val="0070274A"/>
    <w:rsid w:val="00707844"/>
    <w:rsid w:val="00713893"/>
    <w:rsid w:val="00717CF4"/>
    <w:rsid w:val="007271BB"/>
    <w:rsid w:val="0072768F"/>
    <w:rsid w:val="00730977"/>
    <w:rsid w:val="00733799"/>
    <w:rsid w:val="00753291"/>
    <w:rsid w:val="00760B2E"/>
    <w:rsid w:val="00764B97"/>
    <w:rsid w:val="0078643F"/>
    <w:rsid w:val="007A345E"/>
    <w:rsid w:val="007A5803"/>
    <w:rsid w:val="007A5BBA"/>
    <w:rsid w:val="007B2A1E"/>
    <w:rsid w:val="007B32A4"/>
    <w:rsid w:val="007B5202"/>
    <w:rsid w:val="007D022D"/>
    <w:rsid w:val="007E39C6"/>
    <w:rsid w:val="007F1C92"/>
    <w:rsid w:val="007F26D3"/>
    <w:rsid w:val="007F415A"/>
    <w:rsid w:val="00800350"/>
    <w:rsid w:val="00800D70"/>
    <w:rsid w:val="00830904"/>
    <w:rsid w:val="008311EF"/>
    <w:rsid w:val="00831462"/>
    <w:rsid w:val="00837980"/>
    <w:rsid w:val="00870FB1"/>
    <w:rsid w:val="00882183"/>
    <w:rsid w:val="0088256B"/>
    <w:rsid w:val="00895029"/>
    <w:rsid w:val="00897142"/>
    <w:rsid w:val="008A687A"/>
    <w:rsid w:val="008A6903"/>
    <w:rsid w:val="008B189D"/>
    <w:rsid w:val="008C30FE"/>
    <w:rsid w:val="008C67CF"/>
    <w:rsid w:val="008C6F6B"/>
    <w:rsid w:val="008D3082"/>
    <w:rsid w:val="008E6299"/>
    <w:rsid w:val="00907D58"/>
    <w:rsid w:val="009101BA"/>
    <w:rsid w:val="00926969"/>
    <w:rsid w:val="00934FF1"/>
    <w:rsid w:val="00936BB6"/>
    <w:rsid w:val="00947759"/>
    <w:rsid w:val="00953178"/>
    <w:rsid w:val="00955653"/>
    <w:rsid w:val="009568D0"/>
    <w:rsid w:val="00961314"/>
    <w:rsid w:val="00963109"/>
    <w:rsid w:val="009C7D43"/>
    <w:rsid w:val="009E0D19"/>
    <w:rsid w:val="009E55FB"/>
    <w:rsid w:val="00A157C6"/>
    <w:rsid w:val="00A35773"/>
    <w:rsid w:val="00A53531"/>
    <w:rsid w:val="00A56977"/>
    <w:rsid w:val="00A62703"/>
    <w:rsid w:val="00A74BEF"/>
    <w:rsid w:val="00A76FC7"/>
    <w:rsid w:val="00A82308"/>
    <w:rsid w:val="00A9148D"/>
    <w:rsid w:val="00A9498C"/>
    <w:rsid w:val="00AA105A"/>
    <w:rsid w:val="00AA2514"/>
    <w:rsid w:val="00AB1EE0"/>
    <w:rsid w:val="00AC084A"/>
    <w:rsid w:val="00AC185F"/>
    <w:rsid w:val="00AD7959"/>
    <w:rsid w:val="00AE55BB"/>
    <w:rsid w:val="00AE6A4C"/>
    <w:rsid w:val="00AE7231"/>
    <w:rsid w:val="00AF153B"/>
    <w:rsid w:val="00AF504D"/>
    <w:rsid w:val="00B14438"/>
    <w:rsid w:val="00B247F1"/>
    <w:rsid w:val="00B36660"/>
    <w:rsid w:val="00B455C7"/>
    <w:rsid w:val="00B51BCE"/>
    <w:rsid w:val="00B52050"/>
    <w:rsid w:val="00B77328"/>
    <w:rsid w:val="00B85EF7"/>
    <w:rsid w:val="00B929E8"/>
    <w:rsid w:val="00B92B59"/>
    <w:rsid w:val="00B95979"/>
    <w:rsid w:val="00BB6017"/>
    <w:rsid w:val="00BC1BB6"/>
    <w:rsid w:val="00BC56C7"/>
    <w:rsid w:val="00BE0B86"/>
    <w:rsid w:val="00BE64E7"/>
    <w:rsid w:val="00BF4C0A"/>
    <w:rsid w:val="00BF55D7"/>
    <w:rsid w:val="00BF5649"/>
    <w:rsid w:val="00C136E4"/>
    <w:rsid w:val="00C23431"/>
    <w:rsid w:val="00C256C5"/>
    <w:rsid w:val="00C25C56"/>
    <w:rsid w:val="00C71BC4"/>
    <w:rsid w:val="00C72482"/>
    <w:rsid w:val="00C903BE"/>
    <w:rsid w:val="00CA0EA5"/>
    <w:rsid w:val="00CA43DE"/>
    <w:rsid w:val="00CA6313"/>
    <w:rsid w:val="00CB1119"/>
    <w:rsid w:val="00CC0A71"/>
    <w:rsid w:val="00CC58A0"/>
    <w:rsid w:val="00D00AFA"/>
    <w:rsid w:val="00D2436B"/>
    <w:rsid w:val="00D341F1"/>
    <w:rsid w:val="00D41575"/>
    <w:rsid w:val="00D76623"/>
    <w:rsid w:val="00D76649"/>
    <w:rsid w:val="00D7703B"/>
    <w:rsid w:val="00DB6CC7"/>
    <w:rsid w:val="00DD7AF9"/>
    <w:rsid w:val="00DE3B27"/>
    <w:rsid w:val="00E10FF9"/>
    <w:rsid w:val="00E11336"/>
    <w:rsid w:val="00E12AF2"/>
    <w:rsid w:val="00E13D9A"/>
    <w:rsid w:val="00E36884"/>
    <w:rsid w:val="00E37C62"/>
    <w:rsid w:val="00E6165C"/>
    <w:rsid w:val="00E61D00"/>
    <w:rsid w:val="00E62B5D"/>
    <w:rsid w:val="00E644EA"/>
    <w:rsid w:val="00EA31D0"/>
    <w:rsid w:val="00EC4761"/>
    <w:rsid w:val="00ED1D73"/>
    <w:rsid w:val="00EE7CDE"/>
    <w:rsid w:val="00EF287D"/>
    <w:rsid w:val="00EF7923"/>
    <w:rsid w:val="00F01C04"/>
    <w:rsid w:val="00F20235"/>
    <w:rsid w:val="00F274F8"/>
    <w:rsid w:val="00F424A9"/>
    <w:rsid w:val="00F4659E"/>
    <w:rsid w:val="00FB5430"/>
    <w:rsid w:val="00FC6CBB"/>
    <w:rsid w:val="00FD52F5"/>
    <w:rsid w:val="348B3ED9"/>
    <w:rsid w:val="54870A61"/>
    <w:rsid w:val="658BDDBE"/>
    <w:rsid w:val="6818EDFB"/>
    <w:rsid w:val="725DE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B145A"/>
  <w15:docId w15:val="{9C0E29B5-7D32-40DA-A40B-FF6E6D55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E28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A345E"/>
    <w:pPr>
      <w:widowControl w:val="0"/>
      <w:autoSpaceDE w:val="0"/>
      <w:autoSpaceDN w:val="0"/>
      <w:spacing w:after="0" w:line="240" w:lineRule="auto"/>
      <w:ind w:left="63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1762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D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7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99"/>
  </w:style>
  <w:style w:type="paragraph" w:styleId="Footer">
    <w:name w:val="footer"/>
    <w:basedOn w:val="Normal"/>
    <w:link w:val="FooterChar"/>
    <w:uiPriority w:val="99"/>
    <w:unhideWhenUsed/>
    <w:rsid w:val="0073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99"/>
  </w:style>
  <w:style w:type="table" w:styleId="TableGridLight">
    <w:name w:val="Grid Table Light"/>
    <w:basedOn w:val="TableNormal"/>
    <w:uiPriority w:val="40"/>
    <w:rsid w:val="00042E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2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42E28"/>
    <w:pPr>
      <w:outlineLvl w:val="9"/>
    </w:pPr>
    <w:rPr>
      <w:lang w:val="en-US"/>
    </w:rPr>
  </w:style>
  <w:style w:type="table" w:customStyle="1" w:styleId="Style1">
    <w:name w:val="Style1"/>
    <w:basedOn w:val="TableNormal"/>
    <w:uiPriority w:val="99"/>
    <w:rsid w:val="00042E28"/>
    <w:pPr>
      <w:spacing w:after="0" w:line="240" w:lineRule="auto"/>
    </w:pPr>
    <w:tblPr/>
  </w:style>
  <w:style w:type="character" w:styleId="CommentReference">
    <w:name w:val="annotation reference"/>
    <w:basedOn w:val="DefaultParagraphFont"/>
    <w:uiPriority w:val="99"/>
    <w:semiHidden/>
    <w:unhideWhenUsed/>
    <w:rsid w:val="00260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B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B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BA9"/>
    <w:rPr>
      <w:b/>
      <w:bCs/>
      <w:sz w:val="20"/>
      <w:szCs w:val="20"/>
    </w:rPr>
  </w:style>
  <w:style w:type="paragraph" w:customStyle="1" w:styleId="DefaultText">
    <w:name w:val="Default Text"/>
    <w:basedOn w:val="Normal"/>
    <w:link w:val="DefaultTextChar"/>
    <w:rsid w:val="007138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71389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8379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2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ifur.rahman@ifr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fo.hamroi@ifr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ifur.rahman@ifr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fo.hamroi@ifrc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180F2-0581-48A9-9C7D-8E961711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MUSWA</dc:creator>
  <cp:keywords/>
  <dc:description/>
  <cp:lastModifiedBy>Vafo HAMROI</cp:lastModifiedBy>
  <cp:revision>91</cp:revision>
  <cp:lastPrinted>2021-07-06T10:42:00Z</cp:lastPrinted>
  <dcterms:created xsi:type="dcterms:W3CDTF">2024-04-17T10:17:00Z</dcterms:created>
  <dcterms:modified xsi:type="dcterms:W3CDTF">2025-05-15T09:00:00Z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f3f7fd-5cd4-4287-9002-aceb9af13c42_Enabled">
    <vt:lpwstr>true</vt:lpwstr>
  </property>
  <property fmtid="{D5CDD505-2E9C-101B-9397-08002B2CF9AE}" pid="3" name="MSIP_Label_caf3f7fd-5cd4-4287-9002-aceb9af13c42_SetDate">
    <vt:lpwstr>2021-06-06T05:44:42Z</vt:lpwstr>
  </property>
  <property fmtid="{D5CDD505-2E9C-101B-9397-08002B2CF9AE}" pid="4" name="MSIP_Label_caf3f7fd-5cd4-4287-9002-aceb9af13c42_Method">
    <vt:lpwstr>Privileged</vt:lpwstr>
  </property>
  <property fmtid="{D5CDD505-2E9C-101B-9397-08002B2CF9AE}" pid="5" name="MSIP_Label_caf3f7fd-5cd4-4287-9002-aceb9af13c42_Name">
    <vt:lpwstr>Public</vt:lpwstr>
  </property>
  <property fmtid="{D5CDD505-2E9C-101B-9397-08002B2CF9AE}" pid="6" name="MSIP_Label_caf3f7fd-5cd4-4287-9002-aceb9af13c42_SiteId">
    <vt:lpwstr>a2b53be5-734e-4e6c-ab0d-d184f60fd917</vt:lpwstr>
  </property>
  <property fmtid="{D5CDD505-2E9C-101B-9397-08002B2CF9AE}" pid="7" name="MSIP_Label_caf3f7fd-5cd4-4287-9002-aceb9af13c42_ActionId">
    <vt:lpwstr>f31cf800-2736-4e09-8fc2-ff9837a94f7d</vt:lpwstr>
  </property>
  <property fmtid="{D5CDD505-2E9C-101B-9397-08002B2CF9AE}" pid="8" name="MSIP_Label_caf3f7fd-5cd4-4287-9002-aceb9af13c42_ContentBits">
    <vt:lpwstr>2</vt:lpwstr>
  </property>
</Properties>
</file>