
<file path=[Content_Types].xml><?xml version="1.0" encoding="utf-8"?>
<Types xmlns="http://schemas.openxmlformats.org/package/2006/content-types">
  <Default Extension="B8E4E3F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media/image3.B8E4E3F0" ContentType="image/png"/>
  <Override PartName="/word/media/image4.B8E4E3F0" ContentType="image/png"/>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FADD" w14:textId="7535F6B4" w:rsidR="00E27FD0" w:rsidRDefault="00E27FD0" w:rsidP="003C0402">
      <w:pPr>
        <w:spacing w:after="0" w:line="240" w:lineRule="auto"/>
        <w:rPr>
          <w:rFonts w:ascii="Open Sans" w:eastAsia="Times New Roman" w:hAnsi="Open Sans" w:cs="Open Sans"/>
          <w:b/>
          <w:bCs/>
          <w:color w:val="005689"/>
          <w:sz w:val="36"/>
          <w:szCs w:val="36"/>
          <w:bdr w:val="none" w:sz="0" w:space="0" w:color="auto" w:frame="1"/>
          <w:lang w:val="en-GB"/>
        </w:rPr>
      </w:pPr>
      <w:r>
        <w:rPr>
          <w:noProof/>
          <w:lang w:val="en-US" w:eastAsia="en-US"/>
        </w:rPr>
        <w:drawing>
          <wp:inline distT="0" distB="0" distL="0" distR="0" wp14:anchorId="2CB8F543" wp14:editId="4669AF7B">
            <wp:extent cx="1912620" cy="411480"/>
            <wp:effectExtent l="0" t="0" r="11430" b="762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11480"/>
                    </a:xfrm>
                    <a:prstGeom prst="rect">
                      <a:avLst/>
                    </a:prstGeom>
                    <a:noFill/>
                    <a:ln>
                      <a:noFill/>
                    </a:ln>
                  </pic:spPr>
                </pic:pic>
              </a:graphicData>
            </a:graphic>
          </wp:inline>
        </w:drawing>
      </w:r>
    </w:p>
    <w:p w14:paraId="3A131324" w14:textId="77777777" w:rsidR="000E2F4A" w:rsidRDefault="000E2F4A" w:rsidP="003477E6">
      <w:pPr>
        <w:spacing w:after="0" w:line="240" w:lineRule="auto"/>
        <w:jc w:val="center"/>
        <w:rPr>
          <w:rFonts w:ascii="Open Sans" w:eastAsia="Times New Roman" w:hAnsi="Open Sans" w:cs="Open Sans"/>
          <w:color w:val="2F5496" w:themeColor="accent1" w:themeShade="BF"/>
          <w:sz w:val="36"/>
          <w:szCs w:val="36"/>
          <w:bdr w:val="none" w:sz="0" w:space="0" w:color="auto" w:frame="1"/>
          <w:lang w:val="en-GB"/>
        </w:rPr>
      </w:pPr>
    </w:p>
    <w:p w14:paraId="0188E56C" w14:textId="6A5A33E3" w:rsidR="00C9186A" w:rsidRPr="00AA5A85" w:rsidRDefault="004C20FD" w:rsidP="003477E6">
      <w:pPr>
        <w:spacing w:after="0" w:line="240" w:lineRule="auto"/>
        <w:jc w:val="center"/>
        <w:rPr>
          <w:rFonts w:ascii="Open Sans" w:eastAsia="Times New Roman" w:hAnsi="Open Sans" w:cs="Open Sans"/>
          <w:color w:val="2F5496" w:themeColor="accent1" w:themeShade="BF"/>
          <w:sz w:val="36"/>
          <w:szCs w:val="36"/>
          <w:bdr w:val="none" w:sz="0" w:space="0" w:color="auto" w:frame="1"/>
          <w:lang w:val="en-GB"/>
        </w:rPr>
      </w:pPr>
      <w:bookmarkStart w:id="0" w:name="_Hlk130839874"/>
      <w:r>
        <w:rPr>
          <w:rFonts w:ascii="Open Sans" w:eastAsia="Times New Roman" w:hAnsi="Open Sans" w:cs="Open Sans"/>
          <w:color w:val="2F5496" w:themeColor="accent1" w:themeShade="BF"/>
          <w:sz w:val="36"/>
          <w:szCs w:val="36"/>
          <w:bdr w:val="none" w:sz="0" w:space="0" w:color="auto" w:frame="1"/>
          <w:lang w:val="en-GB"/>
        </w:rPr>
        <w:t>UNESCO P</w:t>
      </w:r>
      <w:r w:rsidR="000E2F4A">
        <w:rPr>
          <w:rFonts w:ascii="Open Sans" w:eastAsia="Times New Roman" w:hAnsi="Open Sans" w:cs="Open Sans"/>
          <w:color w:val="2F5496" w:themeColor="accent1" w:themeShade="BF"/>
          <w:sz w:val="36"/>
          <w:szCs w:val="36"/>
          <w:bdr w:val="none" w:sz="0" w:space="0" w:color="auto" w:frame="1"/>
          <w:lang w:val="en-GB"/>
        </w:rPr>
        <w:t xml:space="preserve">rocurement </w:t>
      </w:r>
      <w:r>
        <w:rPr>
          <w:rFonts w:ascii="Open Sans" w:eastAsia="Times New Roman" w:hAnsi="Open Sans" w:cs="Open Sans"/>
          <w:color w:val="2F5496" w:themeColor="accent1" w:themeShade="BF"/>
          <w:sz w:val="36"/>
          <w:szCs w:val="36"/>
          <w:bdr w:val="none" w:sz="0" w:space="0" w:color="auto" w:frame="1"/>
          <w:lang w:val="en-GB"/>
        </w:rPr>
        <w:t>S</w:t>
      </w:r>
      <w:r w:rsidR="000E2F4A">
        <w:rPr>
          <w:rFonts w:ascii="Open Sans" w:eastAsia="Times New Roman" w:hAnsi="Open Sans" w:cs="Open Sans"/>
          <w:color w:val="2F5496" w:themeColor="accent1" w:themeShade="BF"/>
          <w:sz w:val="36"/>
          <w:szCs w:val="36"/>
          <w:bdr w:val="none" w:sz="0" w:space="0" w:color="auto" w:frame="1"/>
          <w:lang w:val="en-GB"/>
        </w:rPr>
        <w:t xml:space="preserve">ustainable </w:t>
      </w:r>
      <w:r>
        <w:rPr>
          <w:rFonts w:ascii="Open Sans" w:eastAsia="Times New Roman" w:hAnsi="Open Sans" w:cs="Open Sans"/>
          <w:color w:val="2F5496" w:themeColor="accent1" w:themeShade="BF"/>
          <w:sz w:val="36"/>
          <w:szCs w:val="36"/>
          <w:bdr w:val="none" w:sz="0" w:space="0" w:color="auto" w:frame="1"/>
          <w:lang w:val="en-GB"/>
        </w:rPr>
        <w:t>Tenders</w:t>
      </w:r>
      <w:r w:rsidR="000E2F4A">
        <w:rPr>
          <w:rFonts w:ascii="Open Sans" w:eastAsia="Times New Roman" w:hAnsi="Open Sans" w:cs="Open Sans"/>
          <w:color w:val="2F5496" w:themeColor="accent1" w:themeShade="BF"/>
          <w:sz w:val="36"/>
          <w:szCs w:val="36"/>
          <w:bdr w:val="none" w:sz="0" w:space="0" w:color="auto" w:frame="1"/>
          <w:lang w:val="en-GB"/>
        </w:rPr>
        <w:t xml:space="preserve"> on </w:t>
      </w:r>
      <w:r>
        <w:rPr>
          <w:rFonts w:ascii="Open Sans" w:eastAsia="Times New Roman" w:hAnsi="Open Sans" w:cs="Open Sans"/>
          <w:color w:val="2F5496" w:themeColor="accent1" w:themeShade="BF"/>
          <w:sz w:val="36"/>
          <w:szCs w:val="36"/>
          <w:bdr w:val="none" w:sz="0" w:space="0" w:color="auto" w:frame="1"/>
          <w:lang w:val="en-GB"/>
        </w:rPr>
        <w:t>the UN Global Market Place (</w:t>
      </w:r>
      <w:r w:rsidR="000E2F4A">
        <w:rPr>
          <w:rFonts w:ascii="Open Sans" w:eastAsia="Times New Roman" w:hAnsi="Open Sans" w:cs="Open Sans"/>
          <w:color w:val="2F5496" w:themeColor="accent1" w:themeShade="BF"/>
          <w:sz w:val="36"/>
          <w:szCs w:val="36"/>
          <w:bdr w:val="none" w:sz="0" w:space="0" w:color="auto" w:frame="1"/>
          <w:lang w:val="en-GB"/>
        </w:rPr>
        <w:t>UNGM</w:t>
      </w:r>
      <w:r>
        <w:rPr>
          <w:rFonts w:ascii="Open Sans" w:eastAsia="Times New Roman" w:hAnsi="Open Sans" w:cs="Open Sans"/>
          <w:color w:val="2F5496" w:themeColor="accent1" w:themeShade="BF"/>
          <w:sz w:val="36"/>
          <w:szCs w:val="36"/>
          <w:bdr w:val="none" w:sz="0" w:space="0" w:color="auto" w:frame="1"/>
          <w:lang w:val="en-GB"/>
        </w:rPr>
        <w:t>)</w:t>
      </w:r>
      <w:r w:rsidR="000E2F4A">
        <w:rPr>
          <w:rFonts w:ascii="Open Sans" w:eastAsia="Times New Roman" w:hAnsi="Open Sans" w:cs="Open Sans"/>
          <w:color w:val="2F5496" w:themeColor="accent1" w:themeShade="BF"/>
          <w:sz w:val="36"/>
          <w:szCs w:val="36"/>
          <w:bdr w:val="none" w:sz="0" w:space="0" w:color="auto" w:frame="1"/>
          <w:lang w:val="en-GB"/>
        </w:rPr>
        <w:t xml:space="preserve"> </w:t>
      </w:r>
    </w:p>
    <w:bookmarkEnd w:id="0"/>
    <w:p w14:paraId="071C0308" w14:textId="3FE598EA" w:rsidR="00075DBB" w:rsidRDefault="00923D09" w:rsidP="009F6974">
      <w:pPr>
        <w:spacing w:before="240" w:line="240" w:lineRule="auto"/>
        <w:jc w:val="both"/>
        <w:rPr>
          <w:rFonts w:ascii="Open Sans" w:eastAsia="Times New Roman" w:hAnsi="Open Sans" w:cs="Open Sans"/>
          <w:bdr w:val="none" w:sz="0" w:space="0" w:color="auto" w:frame="1"/>
          <w:lang w:val="en-GB"/>
        </w:rPr>
      </w:pPr>
      <w:r>
        <w:rPr>
          <w:rFonts w:ascii="Open Sans" w:eastAsia="Times New Roman" w:hAnsi="Open Sans" w:cs="Open Sans"/>
          <w:bdr w:val="none" w:sz="0" w:space="0" w:color="auto" w:frame="1"/>
          <w:lang w:val="en-GB"/>
        </w:rPr>
        <w:t>Within</w:t>
      </w:r>
      <w:r w:rsidRPr="003E0E60">
        <w:rPr>
          <w:rFonts w:ascii="Open Sans" w:eastAsia="Times New Roman" w:hAnsi="Open Sans" w:cs="Open Sans"/>
          <w:bdr w:val="none" w:sz="0" w:space="0" w:color="auto" w:frame="1"/>
          <w:lang w:val="en-GB"/>
        </w:rPr>
        <w:t xml:space="preserve"> </w:t>
      </w:r>
      <w:r w:rsidR="003E0E60" w:rsidRPr="003E0E60">
        <w:rPr>
          <w:rFonts w:ascii="Open Sans" w:eastAsia="Times New Roman" w:hAnsi="Open Sans" w:cs="Open Sans"/>
          <w:bdr w:val="none" w:sz="0" w:space="0" w:color="auto" w:frame="1"/>
          <w:lang w:val="en-GB"/>
        </w:rPr>
        <w:t xml:space="preserve">the framework of the UN Sustainability Management Strategy (2020-2030), UNESCO </w:t>
      </w:r>
      <w:r>
        <w:rPr>
          <w:rFonts w:ascii="Open Sans" w:eastAsia="Times New Roman" w:hAnsi="Open Sans" w:cs="Open Sans"/>
          <w:bdr w:val="none" w:sz="0" w:space="0" w:color="auto" w:frame="1"/>
          <w:lang w:val="en-GB"/>
        </w:rPr>
        <w:t xml:space="preserve">has </w:t>
      </w:r>
      <w:r w:rsidR="003E0E60" w:rsidRPr="003E0E60">
        <w:rPr>
          <w:rFonts w:ascii="Open Sans" w:eastAsia="Times New Roman" w:hAnsi="Open Sans" w:cs="Open Sans"/>
          <w:bdr w:val="none" w:sz="0" w:space="0" w:color="auto" w:frame="1"/>
          <w:lang w:val="en-GB"/>
        </w:rPr>
        <w:t xml:space="preserve">committed </w:t>
      </w:r>
      <w:r>
        <w:rPr>
          <w:rFonts w:ascii="Open Sans" w:eastAsia="Times New Roman" w:hAnsi="Open Sans" w:cs="Open Sans"/>
          <w:bdr w:val="none" w:sz="0" w:space="0" w:color="auto" w:frame="1"/>
          <w:lang w:val="en-GB"/>
        </w:rPr>
        <w:t>to promote</w:t>
      </w:r>
      <w:r w:rsidR="00DE131A" w:rsidRPr="003E0E60">
        <w:rPr>
          <w:rFonts w:ascii="Open Sans" w:eastAsia="Times New Roman" w:hAnsi="Open Sans" w:cs="Open Sans"/>
          <w:bdr w:val="none" w:sz="0" w:space="0" w:color="auto" w:frame="1"/>
          <w:lang w:val="en-GB"/>
        </w:rPr>
        <w:t xml:space="preserve"> </w:t>
      </w:r>
      <w:r>
        <w:rPr>
          <w:rFonts w:ascii="Open Sans" w:eastAsia="Times New Roman" w:hAnsi="Open Sans" w:cs="Open Sans"/>
          <w:bdr w:val="none" w:sz="0" w:space="0" w:color="auto" w:frame="1"/>
          <w:lang w:val="en-GB"/>
        </w:rPr>
        <w:t xml:space="preserve">and apply </w:t>
      </w:r>
      <w:r w:rsidR="00152A36" w:rsidRPr="00152A36">
        <w:rPr>
          <w:rFonts w:ascii="Open Sans" w:eastAsia="Times New Roman" w:hAnsi="Open Sans" w:cs="Open Sans"/>
          <w:bdr w:val="none" w:sz="0" w:space="0" w:color="auto" w:frame="1"/>
          <w:lang w:val="en-GB"/>
        </w:rPr>
        <w:t xml:space="preserve">sustainable </w:t>
      </w:r>
      <w:r>
        <w:rPr>
          <w:rFonts w:ascii="Open Sans" w:eastAsia="Times New Roman" w:hAnsi="Open Sans" w:cs="Open Sans"/>
          <w:bdr w:val="none" w:sz="0" w:space="0" w:color="auto" w:frame="1"/>
          <w:lang w:val="en-GB"/>
        </w:rPr>
        <w:t>considerations in all its operations, including those related to the procurement of goods, works and services</w:t>
      </w:r>
      <w:r w:rsidR="00152A36" w:rsidRPr="00152A36">
        <w:rPr>
          <w:rFonts w:ascii="Open Sans" w:eastAsia="Times New Roman" w:hAnsi="Open Sans" w:cs="Open Sans"/>
          <w:bdr w:val="none" w:sz="0" w:space="0" w:color="auto" w:frame="1"/>
          <w:lang w:val="en-GB"/>
        </w:rPr>
        <w:t xml:space="preserve">. </w:t>
      </w:r>
      <w:r>
        <w:rPr>
          <w:rFonts w:ascii="Open Sans" w:eastAsia="Times New Roman" w:hAnsi="Open Sans" w:cs="Open Sans"/>
          <w:bdr w:val="none" w:sz="0" w:space="0" w:color="auto" w:frame="1"/>
          <w:lang w:val="en-GB"/>
        </w:rPr>
        <w:t>C</w:t>
      </w:r>
      <w:r w:rsidRPr="00152A36">
        <w:rPr>
          <w:rFonts w:ascii="Open Sans" w:eastAsia="Times New Roman" w:hAnsi="Open Sans" w:cs="Open Sans"/>
          <w:bdr w:val="none" w:sz="0" w:space="0" w:color="auto" w:frame="1"/>
          <w:lang w:val="en-GB"/>
        </w:rPr>
        <w:t xml:space="preserve">ontracting </w:t>
      </w:r>
      <w:r w:rsidR="00152A36" w:rsidRPr="00152A36">
        <w:rPr>
          <w:rFonts w:ascii="Open Sans" w:eastAsia="Times New Roman" w:hAnsi="Open Sans" w:cs="Open Sans"/>
          <w:bdr w:val="none" w:sz="0" w:space="0" w:color="auto" w:frame="1"/>
          <w:lang w:val="en-GB"/>
        </w:rPr>
        <w:t xml:space="preserve">entities are </w:t>
      </w:r>
      <w:r>
        <w:rPr>
          <w:rFonts w:ascii="Open Sans" w:eastAsia="Times New Roman" w:hAnsi="Open Sans" w:cs="Open Sans"/>
          <w:bdr w:val="none" w:sz="0" w:space="0" w:color="auto" w:frame="1"/>
          <w:lang w:val="en-GB"/>
        </w:rPr>
        <w:t xml:space="preserve">therefore </w:t>
      </w:r>
      <w:r w:rsidR="00152A36" w:rsidRPr="00152A36">
        <w:rPr>
          <w:rFonts w:ascii="Open Sans" w:eastAsia="Times New Roman" w:hAnsi="Open Sans" w:cs="Open Sans"/>
          <w:bdr w:val="none" w:sz="0" w:space="0" w:color="auto" w:frame="1"/>
          <w:lang w:val="en-GB"/>
        </w:rPr>
        <w:t xml:space="preserve">encouraged to refer to </w:t>
      </w:r>
      <w:r w:rsidR="00075DBB">
        <w:rPr>
          <w:rFonts w:ascii="Open Sans" w:eastAsia="Times New Roman" w:hAnsi="Open Sans" w:cs="Open Sans"/>
          <w:bdr w:val="none" w:sz="0" w:space="0" w:color="auto" w:frame="1"/>
          <w:lang w:val="en-GB"/>
        </w:rPr>
        <w:t xml:space="preserve">the </w:t>
      </w:r>
      <w:r w:rsidR="00152A36" w:rsidRPr="00152A36">
        <w:rPr>
          <w:rFonts w:ascii="Open Sans" w:eastAsia="Times New Roman" w:hAnsi="Open Sans" w:cs="Open Sans"/>
          <w:bdr w:val="none" w:sz="0" w:space="0" w:color="auto" w:frame="1"/>
          <w:lang w:val="en-GB"/>
        </w:rPr>
        <w:t xml:space="preserve">UNGM guidance on Sustainable Procurement (SP) </w:t>
      </w:r>
      <w:r>
        <w:rPr>
          <w:rFonts w:ascii="Open Sans" w:eastAsia="Times New Roman" w:hAnsi="Open Sans" w:cs="Open Sans"/>
          <w:bdr w:val="none" w:sz="0" w:space="0" w:color="auto" w:frame="1"/>
          <w:lang w:val="en-GB"/>
        </w:rPr>
        <w:t>available on our intranet</w:t>
      </w:r>
      <w:r w:rsidR="00BA3109">
        <w:rPr>
          <w:rFonts w:ascii="Open Sans" w:eastAsia="Times New Roman" w:hAnsi="Open Sans" w:cs="Open Sans"/>
          <w:bdr w:val="none" w:sz="0" w:space="0" w:color="auto" w:frame="1"/>
          <w:lang w:val="en-GB"/>
        </w:rPr>
        <w:t xml:space="preserve"> (</w:t>
      </w:r>
      <w:r w:rsidR="00BA3109">
        <w:fldChar w:fldCharType="begin"/>
      </w:r>
      <w:r w:rsidR="00BA3109" w:rsidRPr="00F03F51">
        <w:rPr>
          <w:lang w:val="en-US"/>
        </w:rPr>
        <w:instrText>HYPERLINK "https://unesco.sharepoint.com/sites/ops/SiteAssets/Forms/AllItems.aspx?id=%2Fsites%2Fops%2FSiteAssets%2FSitePages%2FSustainable%2DProcurement%2D1%2D%2FUN%2DSustainable%2DProcurement%2DIndicators%5Fguidance%2Ddocument%2Epdf&amp;parent=%2Fsites%2Fops%2FSiteAssets%2FSitePages%2FSustainable%2DProcurement%2D1%2D"</w:instrText>
      </w:r>
      <w:r w:rsidR="00BA3109">
        <w:fldChar w:fldCharType="separate"/>
      </w:r>
      <w:r w:rsidR="00BA3109">
        <w:rPr>
          <w:rStyle w:val="Hyperlink"/>
          <w:rFonts w:ascii="Open Sans" w:eastAsia="Times New Roman" w:hAnsi="Open Sans" w:cs="Open Sans"/>
          <w:sz w:val="20"/>
          <w:szCs w:val="20"/>
          <w:bdr w:val="none" w:sz="0" w:space="0" w:color="auto" w:frame="1"/>
          <w:lang w:val="en-GB"/>
        </w:rPr>
        <w:t>https://unesco.sharepoint.com/sites/ops/PRO/Sustainable Procurement/ Indicators Guidance</w:t>
      </w:r>
      <w:r w:rsidR="00BA3109">
        <w:fldChar w:fldCharType="end"/>
      </w:r>
      <w:r w:rsidR="00BA3109">
        <w:rPr>
          <w:rStyle w:val="Hyperlink"/>
          <w:rFonts w:ascii="Open Sans" w:eastAsia="Times New Roman" w:hAnsi="Open Sans" w:cs="Open Sans"/>
          <w:sz w:val="20"/>
          <w:szCs w:val="20"/>
          <w:bdr w:val="none" w:sz="0" w:space="0" w:color="auto" w:frame="1"/>
          <w:lang w:val="en-GB"/>
        </w:rPr>
        <w:t xml:space="preserve">) and on the </w:t>
      </w:r>
      <w:proofErr w:type="spellStart"/>
      <w:r w:rsidR="00BA3109">
        <w:rPr>
          <w:rStyle w:val="Hyperlink"/>
          <w:rFonts w:ascii="Open Sans" w:eastAsia="Times New Roman" w:hAnsi="Open Sans" w:cs="Open Sans"/>
          <w:sz w:val="20"/>
          <w:szCs w:val="20"/>
          <w:bdr w:val="none" w:sz="0" w:space="0" w:color="auto" w:frame="1"/>
          <w:lang w:val="en-GB"/>
        </w:rPr>
        <w:t>ungm</w:t>
      </w:r>
      <w:proofErr w:type="spellEnd"/>
      <w:r w:rsidR="00BA3109">
        <w:rPr>
          <w:rStyle w:val="Hyperlink"/>
          <w:rFonts w:ascii="Open Sans" w:eastAsia="Times New Roman" w:hAnsi="Open Sans" w:cs="Open Sans"/>
          <w:sz w:val="20"/>
          <w:szCs w:val="20"/>
          <w:bdr w:val="none" w:sz="0" w:space="0" w:color="auto" w:frame="1"/>
          <w:lang w:val="en-GB"/>
        </w:rPr>
        <w:t xml:space="preserve"> platform (</w:t>
      </w:r>
      <w:hyperlink r:id="rId8" w:history="1">
        <w:r w:rsidR="00BA3109" w:rsidRPr="004D364D">
          <w:rPr>
            <w:rStyle w:val="Hyperlink"/>
            <w:rFonts w:ascii="Open Sans" w:eastAsia="Times New Roman" w:hAnsi="Open Sans" w:cs="Open Sans"/>
            <w:sz w:val="20"/>
            <w:szCs w:val="20"/>
            <w:bdr w:val="none" w:sz="0" w:space="0" w:color="auto" w:frame="1"/>
            <w:lang w:val="en-GB"/>
          </w:rPr>
          <w:t>https://www.ungm.org/Shared/KnowledgeCenter/Pages/SPIndicators</w:t>
        </w:r>
      </w:hyperlink>
      <w:r w:rsidR="00BA3109">
        <w:rPr>
          <w:rStyle w:val="Hyperlink"/>
          <w:rFonts w:ascii="Open Sans" w:eastAsia="Times New Roman" w:hAnsi="Open Sans" w:cs="Open Sans"/>
          <w:sz w:val="20"/>
          <w:szCs w:val="20"/>
          <w:bdr w:val="none" w:sz="0" w:space="0" w:color="auto" w:frame="1"/>
          <w:lang w:val="en-GB"/>
        </w:rPr>
        <w:t>)</w:t>
      </w:r>
      <w:r w:rsidR="00075DBB">
        <w:rPr>
          <w:rStyle w:val="Hyperlink"/>
          <w:rFonts w:ascii="Open Sans" w:eastAsia="Times New Roman" w:hAnsi="Open Sans" w:cs="Open Sans"/>
          <w:sz w:val="20"/>
          <w:szCs w:val="20"/>
          <w:bdr w:val="none" w:sz="0" w:space="0" w:color="auto" w:frame="1"/>
          <w:lang w:val="en-GB"/>
        </w:rPr>
        <w:t>,</w:t>
      </w:r>
      <w:r>
        <w:rPr>
          <w:rFonts w:ascii="Open Sans" w:eastAsia="Times New Roman" w:hAnsi="Open Sans" w:cs="Open Sans"/>
          <w:bdr w:val="none" w:sz="0" w:space="0" w:color="auto" w:frame="1"/>
          <w:lang w:val="en-GB"/>
        </w:rPr>
        <w:t xml:space="preserve"> </w:t>
      </w:r>
      <w:r w:rsidR="00152A36" w:rsidRPr="00152A36">
        <w:rPr>
          <w:rFonts w:ascii="Open Sans" w:eastAsia="Times New Roman" w:hAnsi="Open Sans" w:cs="Open Sans"/>
          <w:bdr w:val="none" w:sz="0" w:space="0" w:color="auto" w:frame="1"/>
          <w:lang w:val="en-GB"/>
        </w:rPr>
        <w:t xml:space="preserve">and select the </w:t>
      </w:r>
      <w:r w:rsidR="00D14F3F" w:rsidRPr="00152A36">
        <w:rPr>
          <w:rFonts w:ascii="Open Sans" w:eastAsia="Times New Roman" w:hAnsi="Open Sans" w:cs="Open Sans"/>
          <w:bdr w:val="none" w:sz="0" w:space="0" w:color="auto" w:frame="1"/>
          <w:lang w:val="en-GB"/>
        </w:rPr>
        <w:t>appropriate</w:t>
      </w:r>
      <w:r w:rsidR="00152A36" w:rsidRPr="00152A36">
        <w:rPr>
          <w:rFonts w:ascii="Open Sans" w:eastAsia="Times New Roman" w:hAnsi="Open Sans" w:cs="Open Sans"/>
          <w:bdr w:val="none" w:sz="0" w:space="0" w:color="auto" w:frame="1"/>
          <w:lang w:val="en-GB"/>
        </w:rPr>
        <w:t xml:space="preserve"> Sustainable Procurement (SP) Indicator</w:t>
      </w:r>
      <w:r>
        <w:rPr>
          <w:rFonts w:ascii="Open Sans" w:eastAsia="Times New Roman" w:hAnsi="Open Sans" w:cs="Open Sans"/>
          <w:bdr w:val="none" w:sz="0" w:space="0" w:color="auto" w:frame="1"/>
          <w:lang w:val="en-GB"/>
        </w:rPr>
        <w:t>s</w:t>
      </w:r>
      <w:r w:rsidR="00E27FD0">
        <w:rPr>
          <w:rFonts w:ascii="Open Sans" w:eastAsia="Times New Roman" w:hAnsi="Open Sans" w:cs="Open Sans"/>
          <w:bdr w:val="none" w:sz="0" w:space="0" w:color="auto" w:frame="1"/>
          <w:lang w:val="en-GB"/>
        </w:rPr>
        <w:t xml:space="preserve"> </w:t>
      </w:r>
      <w:r w:rsidR="00152A36" w:rsidRPr="00152A36">
        <w:rPr>
          <w:rFonts w:ascii="Open Sans" w:eastAsia="Times New Roman" w:hAnsi="Open Sans" w:cs="Open Sans"/>
          <w:bdr w:val="none" w:sz="0" w:space="0" w:color="auto" w:frame="1"/>
          <w:lang w:val="en-GB"/>
        </w:rPr>
        <w:t xml:space="preserve">that </w:t>
      </w:r>
      <w:r>
        <w:rPr>
          <w:rFonts w:ascii="Open Sans" w:eastAsia="Times New Roman" w:hAnsi="Open Sans" w:cs="Open Sans"/>
          <w:bdr w:val="none" w:sz="0" w:space="0" w:color="auto" w:frame="1"/>
          <w:lang w:val="en-GB"/>
        </w:rPr>
        <w:t xml:space="preserve">would </w:t>
      </w:r>
      <w:r w:rsidR="00152A36" w:rsidRPr="00152A36">
        <w:rPr>
          <w:rFonts w:ascii="Open Sans" w:eastAsia="Times New Roman" w:hAnsi="Open Sans" w:cs="Open Sans"/>
          <w:bdr w:val="none" w:sz="0" w:space="0" w:color="auto" w:frame="1"/>
          <w:lang w:val="en-GB"/>
        </w:rPr>
        <w:t xml:space="preserve">best </w:t>
      </w:r>
      <w:r>
        <w:rPr>
          <w:rFonts w:ascii="Open Sans" w:eastAsia="Times New Roman" w:hAnsi="Open Sans" w:cs="Open Sans"/>
          <w:bdr w:val="none" w:sz="0" w:space="0" w:color="auto" w:frame="1"/>
          <w:lang w:val="en-GB"/>
        </w:rPr>
        <w:t>reflect</w:t>
      </w:r>
      <w:r w:rsidR="00152A36" w:rsidRPr="00152A36">
        <w:rPr>
          <w:rFonts w:ascii="Open Sans" w:eastAsia="Times New Roman" w:hAnsi="Open Sans" w:cs="Open Sans"/>
          <w:bdr w:val="none" w:sz="0" w:space="0" w:color="auto" w:frame="1"/>
          <w:lang w:val="en-GB"/>
        </w:rPr>
        <w:t xml:space="preserve"> the sustainability considerations included in </w:t>
      </w:r>
      <w:r>
        <w:rPr>
          <w:rFonts w:ascii="Open Sans" w:eastAsia="Times New Roman" w:hAnsi="Open Sans" w:cs="Open Sans"/>
          <w:bdr w:val="none" w:sz="0" w:space="0" w:color="auto" w:frame="1"/>
          <w:lang w:val="en-GB"/>
        </w:rPr>
        <w:t>the</w:t>
      </w:r>
      <w:r w:rsidRPr="00152A36">
        <w:rPr>
          <w:rFonts w:ascii="Open Sans" w:eastAsia="Times New Roman" w:hAnsi="Open Sans" w:cs="Open Sans"/>
          <w:bdr w:val="none" w:sz="0" w:space="0" w:color="auto" w:frame="1"/>
          <w:lang w:val="en-GB"/>
        </w:rPr>
        <w:t xml:space="preserve"> </w:t>
      </w:r>
      <w:r w:rsidR="00152A36" w:rsidRPr="00152A36">
        <w:rPr>
          <w:rFonts w:ascii="Open Sans" w:eastAsia="Times New Roman" w:hAnsi="Open Sans" w:cs="Open Sans"/>
          <w:bdr w:val="none" w:sz="0" w:space="0" w:color="auto" w:frame="1"/>
          <w:lang w:val="en-GB"/>
        </w:rPr>
        <w:t>solicitation document</w:t>
      </w:r>
      <w:r>
        <w:rPr>
          <w:rFonts w:ascii="Open Sans" w:eastAsia="Times New Roman" w:hAnsi="Open Sans" w:cs="Open Sans"/>
          <w:bdr w:val="none" w:sz="0" w:space="0" w:color="auto" w:frame="1"/>
          <w:lang w:val="en-GB"/>
        </w:rPr>
        <w:t>s</w:t>
      </w:r>
      <w:r w:rsidR="00E27FD0">
        <w:rPr>
          <w:rFonts w:ascii="Open Sans" w:eastAsia="Times New Roman" w:hAnsi="Open Sans" w:cs="Open Sans"/>
          <w:bdr w:val="none" w:sz="0" w:space="0" w:color="auto" w:frame="1"/>
          <w:lang w:val="en-GB"/>
        </w:rPr>
        <w:t>.</w:t>
      </w:r>
    </w:p>
    <w:p w14:paraId="74CB20BB" w14:textId="14CA432D" w:rsidR="00E27FD0" w:rsidRDefault="00923D09" w:rsidP="000E2F4A">
      <w:pPr>
        <w:spacing w:before="240" w:line="240" w:lineRule="auto"/>
        <w:jc w:val="both"/>
        <w:rPr>
          <w:rFonts w:ascii="Open Sans" w:eastAsia="Times New Roman" w:hAnsi="Open Sans" w:cs="Open Sans"/>
          <w:bdr w:val="none" w:sz="0" w:space="0" w:color="auto" w:frame="1"/>
          <w:lang w:val="en-GB"/>
        </w:rPr>
      </w:pPr>
      <w:r>
        <w:rPr>
          <w:rFonts w:ascii="Open Sans" w:eastAsia="Times New Roman" w:hAnsi="Open Sans" w:cs="Open Sans"/>
          <w:bdr w:val="none" w:sz="0" w:space="0" w:color="auto" w:frame="1"/>
          <w:lang w:val="en-GB"/>
        </w:rPr>
        <w:t xml:space="preserve">It should be noted that, </w:t>
      </w:r>
      <w:r w:rsidRPr="000002CC">
        <w:rPr>
          <w:rFonts w:ascii="Open Sans" w:eastAsia="Times New Roman" w:hAnsi="Open Sans" w:cs="Open Sans"/>
          <w:b/>
          <w:bCs/>
          <w:bdr w:val="none" w:sz="0" w:space="0" w:color="auto" w:frame="1"/>
          <w:lang w:val="en-GB"/>
        </w:rPr>
        <w:t>for a tender to be “flagged” as sustainable</w:t>
      </w:r>
      <w:r>
        <w:rPr>
          <w:rFonts w:ascii="Open Sans" w:eastAsia="Times New Roman" w:hAnsi="Open Sans" w:cs="Open Sans"/>
          <w:bdr w:val="none" w:sz="0" w:space="0" w:color="auto" w:frame="1"/>
          <w:lang w:val="en-GB"/>
        </w:rPr>
        <w:t xml:space="preserve"> </w:t>
      </w:r>
      <w:r w:rsidR="004C20FD">
        <w:rPr>
          <w:rFonts w:ascii="Open Sans" w:eastAsia="Times New Roman" w:hAnsi="Open Sans" w:cs="Open Sans"/>
          <w:bdr w:val="none" w:sz="0" w:space="0" w:color="auto" w:frame="1"/>
          <w:lang w:val="en-GB"/>
        </w:rPr>
        <w:t>o</w:t>
      </w:r>
      <w:r>
        <w:rPr>
          <w:rFonts w:ascii="Open Sans" w:eastAsia="Times New Roman" w:hAnsi="Open Sans" w:cs="Open Sans"/>
          <w:bdr w:val="none" w:sz="0" w:space="0" w:color="auto" w:frame="1"/>
          <w:lang w:val="en-GB"/>
        </w:rPr>
        <w:t xml:space="preserve">n the UNGM platform, and therefore promote the visibility of UNESCO sustainable procurement, it is required that </w:t>
      </w:r>
      <w:r w:rsidR="00137C01">
        <w:rPr>
          <w:rFonts w:ascii="Open Sans" w:eastAsia="Times New Roman" w:hAnsi="Open Sans" w:cs="Open Sans"/>
          <w:bdr w:val="none" w:sz="0" w:space="0" w:color="auto" w:frame="1"/>
          <w:lang w:val="en-GB"/>
        </w:rPr>
        <w:t>sustainable considerations be identified for each</w:t>
      </w:r>
      <w:r>
        <w:rPr>
          <w:rFonts w:ascii="Open Sans" w:eastAsia="Times New Roman" w:hAnsi="Open Sans" w:cs="Open Sans"/>
          <w:bdr w:val="none" w:sz="0" w:space="0" w:color="auto" w:frame="1"/>
          <w:lang w:val="en-GB"/>
        </w:rPr>
        <w:t xml:space="preserve"> one </w:t>
      </w:r>
      <w:r w:rsidR="00137C01">
        <w:rPr>
          <w:rFonts w:ascii="Open Sans" w:eastAsia="Times New Roman" w:hAnsi="Open Sans" w:cs="Open Sans"/>
          <w:bdr w:val="none" w:sz="0" w:space="0" w:color="auto" w:frame="1"/>
          <w:lang w:val="en-GB"/>
        </w:rPr>
        <w:t>of the three</w:t>
      </w:r>
      <w:r w:rsidR="00BA3109">
        <w:rPr>
          <w:rFonts w:ascii="Open Sans" w:eastAsia="Times New Roman" w:hAnsi="Open Sans" w:cs="Open Sans"/>
          <w:bdr w:val="none" w:sz="0" w:space="0" w:color="auto" w:frame="1"/>
          <w:lang w:val="en-GB"/>
        </w:rPr>
        <w:t xml:space="preserve"> </w:t>
      </w:r>
      <w:r>
        <w:rPr>
          <w:rFonts w:ascii="Open Sans" w:eastAsia="Times New Roman" w:hAnsi="Open Sans" w:cs="Open Sans"/>
          <w:bdr w:val="none" w:sz="0" w:space="0" w:color="auto" w:frame="1"/>
          <w:lang w:val="en-GB"/>
        </w:rPr>
        <w:t>sustainable procurement pillar</w:t>
      </w:r>
      <w:r w:rsidR="00BA3109">
        <w:rPr>
          <w:rFonts w:ascii="Open Sans" w:eastAsia="Times New Roman" w:hAnsi="Open Sans" w:cs="Open Sans"/>
          <w:bdr w:val="none" w:sz="0" w:space="0" w:color="auto" w:frame="1"/>
          <w:lang w:val="en-GB"/>
        </w:rPr>
        <w:t>s</w:t>
      </w:r>
      <w:r>
        <w:rPr>
          <w:rFonts w:ascii="Open Sans" w:eastAsia="Times New Roman" w:hAnsi="Open Sans" w:cs="Open Sans"/>
          <w:bdr w:val="none" w:sz="0" w:space="0" w:color="auto" w:frame="1"/>
          <w:lang w:val="en-GB"/>
        </w:rPr>
        <w:t xml:space="preserve"> (economic, environmental and social).</w:t>
      </w:r>
    </w:p>
    <w:p w14:paraId="00308E75" w14:textId="16CFE781" w:rsidR="000E2F4A" w:rsidRDefault="00BA3109" w:rsidP="00E23282">
      <w:pPr>
        <w:spacing w:after="0" w:line="240" w:lineRule="auto"/>
        <w:jc w:val="both"/>
        <w:rPr>
          <w:rFonts w:ascii="Open Sans" w:eastAsia="Times New Roman" w:hAnsi="Open Sans" w:cs="Open Sans"/>
          <w:bdr w:val="none" w:sz="0" w:space="0" w:color="auto" w:frame="1"/>
          <w:lang w:val="en-GB"/>
        </w:rPr>
      </w:pPr>
      <w:r>
        <w:rPr>
          <w:rFonts w:ascii="Open Sans" w:eastAsia="Times New Roman" w:hAnsi="Open Sans" w:cs="Open Sans"/>
          <w:bdr w:val="none" w:sz="0" w:space="0" w:color="auto" w:frame="1"/>
          <w:lang w:val="en-GB"/>
        </w:rPr>
        <w:t xml:space="preserve">As shown in the table below, for </w:t>
      </w:r>
      <w:r w:rsidR="009F6974">
        <w:rPr>
          <w:rFonts w:ascii="Open Sans" w:eastAsia="Times New Roman" w:hAnsi="Open Sans" w:cs="Open Sans"/>
          <w:bdr w:val="none" w:sz="0" w:space="0" w:color="auto" w:frame="1"/>
          <w:lang w:val="en-GB"/>
        </w:rPr>
        <w:t>each selected indicator</w:t>
      </w:r>
      <w:r>
        <w:rPr>
          <w:rFonts w:ascii="Open Sans" w:eastAsia="Times New Roman" w:hAnsi="Open Sans" w:cs="Open Sans"/>
          <w:bdr w:val="none" w:sz="0" w:space="0" w:color="auto" w:frame="1"/>
          <w:lang w:val="en-GB"/>
        </w:rPr>
        <w:t xml:space="preserve"> (Level 1)</w:t>
      </w:r>
      <w:r w:rsidR="009F6974">
        <w:rPr>
          <w:rFonts w:ascii="Open Sans" w:eastAsia="Times New Roman" w:hAnsi="Open Sans" w:cs="Open Sans"/>
          <w:bdr w:val="none" w:sz="0" w:space="0" w:color="auto" w:frame="1"/>
          <w:lang w:val="en-GB"/>
        </w:rPr>
        <w:t xml:space="preserve">, the contracting entity </w:t>
      </w:r>
      <w:r w:rsidR="00137C01">
        <w:rPr>
          <w:rFonts w:ascii="Open Sans" w:eastAsia="Times New Roman" w:hAnsi="Open Sans" w:cs="Open Sans"/>
          <w:bdr w:val="none" w:sz="0" w:space="0" w:color="auto" w:frame="1"/>
          <w:lang w:val="en-GB"/>
        </w:rPr>
        <w:t>shall</w:t>
      </w:r>
      <w:r w:rsidR="009F6974">
        <w:rPr>
          <w:rFonts w:ascii="Open Sans" w:eastAsia="Times New Roman" w:hAnsi="Open Sans" w:cs="Open Sans"/>
          <w:bdr w:val="none" w:sz="0" w:space="0" w:color="auto" w:frame="1"/>
          <w:lang w:val="en-GB"/>
        </w:rPr>
        <w:t xml:space="preserve"> </w:t>
      </w:r>
      <w:r w:rsidR="00137C01">
        <w:rPr>
          <w:rFonts w:ascii="Open Sans" w:eastAsia="Times New Roman" w:hAnsi="Open Sans" w:cs="Open Sans"/>
          <w:bdr w:val="none" w:sz="0" w:space="0" w:color="auto" w:frame="1"/>
          <w:lang w:val="en-GB"/>
        </w:rPr>
        <w:t xml:space="preserve">select the most appropriate sub-indicators </w:t>
      </w:r>
      <w:r>
        <w:rPr>
          <w:rFonts w:ascii="Open Sans" w:eastAsia="Times New Roman" w:hAnsi="Open Sans" w:cs="Open Sans"/>
          <w:bdr w:val="none" w:sz="0" w:space="0" w:color="auto" w:frame="1"/>
          <w:lang w:val="en-GB"/>
        </w:rPr>
        <w:t xml:space="preserve">(Level 2) and </w:t>
      </w:r>
      <w:r w:rsidR="00137C01">
        <w:rPr>
          <w:rFonts w:ascii="Open Sans" w:eastAsia="Times New Roman" w:hAnsi="Open Sans" w:cs="Open Sans"/>
          <w:bdr w:val="none" w:sz="0" w:space="0" w:color="auto" w:frame="1"/>
          <w:lang w:val="en-GB"/>
        </w:rPr>
        <w:t>tick</w:t>
      </w:r>
      <w:r w:rsidR="00923D09">
        <w:rPr>
          <w:rFonts w:ascii="Open Sans" w:eastAsia="Times New Roman" w:hAnsi="Open Sans" w:cs="Open Sans"/>
          <w:bdr w:val="none" w:sz="0" w:space="0" w:color="auto" w:frame="1"/>
          <w:lang w:val="en-GB"/>
        </w:rPr>
        <w:t xml:space="preserve"> </w:t>
      </w:r>
      <w:r w:rsidR="00137C01">
        <w:rPr>
          <w:rFonts w:ascii="Open Sans" w:eastAsia="Times New Roman" w:hAnsi="Open Sans" w:cs="Open Sans"/>
          <w:bdr w:val="none" w:sz="0" w:space="0" w:color="auto" w:frame="1"/>
          <w:lang w:val="en-GB"/>
        </w:rPr>
        <w:t xml:space="preserve">the </w:t>
      </w:r>
      <w:r w:rsidR="00923D09">
        <w:rPr>
          <w:rFonts w:ascii="Open Sans" w:eastAsia="Times New Roman" w:hAnsi="Open Sans" w:cs="Open Sans"/>
          <w:bdr w:val="none" w:sz="0" w:space="0" w:color="auto" w:frame="1"/>
          <w:lang w:val="en-GB"/>
        </w:rPr>
        <w:t>specific</w:t>
      </w:r>
      <w:r w:rsidR="00352618">
        <w:rPr>
          <w:rFonts w:ascii="Open Sans" w:eastAsia="Times New Roman" w:hAnsi="Open Sans" w:cs="Open Sans"/>
          <w:bdr w:val="none" w:sz="0" w:space="0" w:color="auto" w:frame="1"/>
          <w:lang w:val="en-GB"/>
        </w:rPr>
        <w:t xml:space="preserve"> s</w:t>
      </w:r>
      <w:r w:rsidR="009F6974" w:rsidRPr="009F6974">
        <w:rPr>
          <w:rFonts w:ascii="Open Sans" w:eastAsia="Times New Roman" w:hAnsi="Open Sans" w:cs="Open Sans"/>
          <w:bdr w:val="none" w:sz="0" w:space="0" w:color="auto" w:frame="1"/>
          <w:lang w:val="en-GB"/>
        </w:rPr>
        <w:t>tages of the procurement process</w:t>
      </w:r>
      <w:r w:rsidR="009F6974">
        <w:rPr>
          <w:rFonts w:ascii="Open Sans" w:eastAsia="Times New Roman" w:hAnsi="Open Sans" w:cs="Open Sans"/>
          <w:bdr w:val="none" w:sz="0" w:space="0" w:color="auto" w:frame="1"/>
          <w:lang w:val="en-GB"/>
        </w:rPr>
        <w:t xml:space="preserve"> </w:t>
      </w:r>
      <w:r w:rsidR="009F6974" w:rsidRPr="00352618">
        <w:rPr>
          <w:rFonts w:ascii="Open Sans" w:eastAsia="Times New Roman" w:hAnsi="Open Sans" w:cs="Open Sans"/>
          <w:u w:val="single"/>
          <w:bdr w:val="none" w:sz="0" w:space="0" w:color="auto" w:frame="1"/>
          <w:lang w:val="en-GB"/>
        </w:rPr>
        <w:t xml:space="preserve">where </w:t>
      </w:r>
      <w:r w:rsidR="00137C01">
        <w:rPr>
          <w:rFonts w:ascii="Open Sans" w:eastAsia="Times New Roman" w:hAnsi="Open Sans" w:cs="Open Sans"/>
          <w:u w:val="single"/>
          <w:bdr w:val="none" w:sz="0" w:space="0" w:color="auto" w:frame="1"/>
          <w:lang w:val="en-GB"/>
        </w:rPr>
        <w:t xml:space="preserve">sustainable </w:t>
      </w:r>
      <w:r w:rsidR="009F6974" w:rsidRPr="00352618">
        <w:rPr>
          <w:rFonts w:ascii="Open Sans" w:eastAsia="Times New Roman" w:hAnsi="Open Sans" w:cs="Open Sans"/>
          <w:u w:val="single"/>
          <w:bdr w:val="none" w:sz="0" w:space="0" w:color="auto" w:frame="1"/>
          <w:lang w:val="en-GB"/>
        </w:rPr>
        <w:t>consideration</w:t>
      </w:r>
      <w:r w:rsidR="00137C01">
        <w:rPr>
          <w:rFonts w:ascii="Open Sans" w:eastAsia="Times New Roman" w:hAnsi="Open Sans" w:cs="Open Sans"/>
          <w:u w:val="single"/>
          <w:bdr w:val="none" w:sz="0" w:space="0" w:color="auto" w:frame="1"/>
          <w:lang w:val="en-GB"/>
        </w:rPr>
        <w:t>s</w:t>
      </w:r>
      <w:r w:rsidR="009F6974" w:rsidRPr="00352618">
        <w:rPr>
          <w:rFonts w:ascii="Open Sans" w:eastAsia="Times New Roman" w:hAnsi="Open Sans" w:cs="Open Sans"/>
          <w:u w:val="single"/>
          <w:bdr w:val="none" w:sz="0" w:space="0" w:color="auto" w:frame="1"/>
          <w:lang w:val="en-GB"/>
        </w:rPr>
        <w:t xml:space="preserve"> </w:t>
      </w:r>
      <w:r w:rsidR="00137C01" w:rsidRPr="00352618">
        <w:rPr>
          <w:rFonts w:ascii="Open Sans" w:eastAsia="Times New Roman" w:hAnsi="Open Sans" w:cs="Open Sans"/>
          <w:u w:val="single"/>
          <w:bdr w:val="none" w:sz="0" w:space="0" w:color="auto" w:frame="1"/>
          <w:lang w:val="en-GB"/>
        </w:rPr>
        <w:t>ha</w:t>
      </w:r>
      <w:r w:rsidR="00137C01">
        <w:rPr>
          <w:rFonts w:ascii="Open Sans" w:eastAsia="Times New Roman" w:hAnsi="Open Sans" w:cs="Open Sans"/>
          <w:u w:val="single"/>
          <w:bdr w:val="none" w:sz="0" w:space="0" w:color="auto" w:frame="1"/>
          <w:lang w:val="en-GB"/>
        </w:rPr>
        <w:t>ve</w:t>
      </w:r>
      <w:r w:rsidR="00137C01" w:rsidRPr="00352618">
        <w:rPr>
          <w:rFonts w:ascii="Open Sans" w:eastAsia="Times New Roman" w:hAnsi="Open Sans" w:cs="Open Sans"/>
          <w:u w:val="single"/>
          <w:bdr w:val="none" w:sz="0" w:space="0" w:color="auto" w:frame="1"/>
          <w:lang w:val="en-GB"/>
        </w:rPr>
        <w:t xml:space="preserve"> </w:t>
      </w:r>
      <w:r w:rsidR="009F6974" w:rsidRPr="00352618">
        <w:rPr>
          <w:rFonts w:ascii="Open Sans" w:eastAsia="Times New Roman" w:hAnsi="Open Sans" w:cs="Open Sans"/>
          <w:u w:val="single"/>
          <w:bdr w:val="none" w:sz="0" w:space="0" w:color="auto" w:frame="1"/>
          <w:lang w:val="en-GB"/>
        </w:rPr>
        <w:t>been incorporated</w:t>
      </w:r>
      <w:r w:rsidR="000E2F4A">
        <w:rPr>
          <w:rFonts w:ascii="Open Sans" w:eastAsia="Times New Roman" w:hAnsi="Open Sans" w:cs="Open Sans"/>
          <w:bdr w:val="none" w:sz="0" w:space="0" w:color="auto" w:frame="1"/>
          <w:lang w:val="en-GB"/>
        </w:rPr>
        <w:t>.</w:t>
      </w:r>
      <w:r w:rsidR="009F6974">
        <w:rPr>
          <w:rFonts w:ascii="Open Sans" w:eastAsia="Times New Roman" w:hAnsi="Open Sans" w:cs="Open Sans"/>
          <w:bdr w:val="none" w:sz="0" w:space="0" w:color="auto" w:frame="1"/>
          <w:lang w:val="en-GB"/>
        </w:rPr>
        <w:t xml:space="preserve"> </w:t>
      </w:r>
    </w:p>
    <w:p w14:paraId="40F0FF1A" w14:textId="77777777" w:rsidR="00E23282" w:rsidRPr="009F6974" w:rsidRDefault="00E23282" w:rsidP="00E23282">
      <w:pPr>
        <w:spacing w:after="0" w:line="240" w:lineRule="auto"/>
        <w:jc w:val="both"/>
        <w:rPr>
          <w:rFonts w:ascii="Open Sans" w:eastAsia="Times New Roman" w:hAnsi="Open Sans" w:cs="Open Sans"/>
          <w:bdr w:val="none" w:sz="0" w:space="0" w:color="auto" w:frame="1"/>
          <w:lang w:val="en-GB"/>
        </w:rPr>
      </w:pPr>
    </w:p>
    <w:p w14:paraId="0B1F2986" w14:textId="50B7C7FB"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eastAsia="Times New Roman" w:hAnsi="Open Sans" w:cs="Open Sans"/>
          <w:sz w:val="18"/>
          <w:szCs w:val="18"/>
          <w:lang w:val="en-GB"/>
        </w:rPr>
        <w:t xml:space="preserve">     </w:t>
      </w:r>
      <w:r w:rsidR="00352618" w:rsidRPr="004123C8">
        <w:rPr>
          <w:rFonts w:ascii="Open Sans" w:eastAsia="Times New Roman" w:hAnsi="Open Sans" w:cs="Open Sans"/>
          <w:sz w:val="18"/>
          <w:szCs w:val="18"/>
          <w:lang w:val="en-GB"/>
        </w:rPr>
        <w:t xml:space="preserve">   </w:t>
      </w:r>
      <w:r w:rsidRPr="004123C8">
        <w:rPr>
          <w:rFonts w:ascii="Open Sans" w:eastAsia="Times New Roman" w:hAnsi="Open Sans" w:cs="Open Sans"/>
          <w:sz w:val="18"/>
          <w:szCs w:val="18"/>
          <w:lang w:val="en-GB"/>
        </w:rPr>
        <w:t xml:space="preserve"> </w:t>
      </w:r>
      <w:r w:rsidR="009E411E">
        <w:rPr>
          <w:rFonts w:ascii="Open Sans" w:hAnsi="Open Sans" w:cs="Open Sans"/>
          <w:sz w:val="18"/>
          <w:szCs w:val="18"/>
          <w:lang w:val="en-GB"/>
        </w:rPr>
        <w:fldChar w:fldCharType="begin">
          <w:ffData>
            <w:name w:val=""/>
            <w:enabled/>
            <w:calcOnExit w:val="0"/>
            <w:checkBox>
              <w:size w:val="16"/>
              <w:default w:val="1"/>
            </w:checkBox>
          </w:ffData>
        </w:fldChar>
      </w:r>
      <w:r w:rsidR="009E411E">
        <w:rPr>
          <w:rFonts w:ascii="Open Sans" w:hAnsi="Open Sans" w:cs="Open Sans"/>
          <w:sz w:val="18"/>
          <w:szCs w:val="18"/>
          <w:lang w:val="en-GB"/>
        </w:rPr>
        <w:instrText xml:space="preserve"> FORMCHECKBOX </w:instrText>
      </w:r>
      <w:r w:rsidR="009E411E">
        <w:rPr>
          <w:rFonts w:ascii="Open Sans" w:hAnsi="Open Sans" w:cs="Open Sans"/>
          <w:sz w:val="18"/>
          <w:szCs w:val="18"/>
          <w:lang w:val="en-GB"/>
        </w:rPr>
      </w:r>
      <w:r w:rsidR="009E411E">
        <w:rPr>
          <w:rFonts w:ascii="Open Sans" w:hAnsi="Open Sans" w:cs="Open Sans"/>
          <w:sz w:val="18"/>
          <w:szCs w:val="18"/>
          <w:lang w:val="en-GB"/>
        </w:rPr>
        <w:fldChar w:fldCharType="separate"/>
      </w:r>
      <w:r w:rsidR="009E411E">
        <w:rPr>
          <w:rFonts w:ascii="Open Sans" w:hAnsi="Open Sans" w:cs="Open Sans"/>
          <w:sz w:val="18"/>
          <w:szCs w:val="18"/>
          <w:lang w:val="en-GB"/>
        </w:rPr>
        <w:fldChar w:fldCharType="end"/>
      </w:r>
      <w:r w:rsidRPr="004123C8">
        <w:rPr>
          <w:rFonts w:ascii="Open Sans" w:hAnsi="Open Sans" w:cs="Open Sans"/>
          <w:sz w:val="18"/>
          <w:szCs w:val="18"/>
          <w:lang w:val="en-GB"/>
        </w:rPr>
        <w:t xml:space="preserve"> Sourcing/ pre-qualification of bidders.</w:t>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p>
    <w:p w14:paraId="4588A4FE" w14:textId="7793554F"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hAnsi="Open Sans" w:cs="Open Sans"/>
          <w:sz w:val="18"/>
          <w:szCs w:val="18"/>
          <w:lang w:val="en-GB"/>
        </w:rPr>
        <w:t xml:space="preserve">         </w:t>
      </w:r>
      <w:r w:rsidR="00C73969" w:rsidRPr="004123C8">
        <w:rPr>
          <w:rFonts w:ascii="Open Sans" w:hAnsi="Open Sans" w:cs="Open Sans"/>
          <w:sz w:val="18"/>
          <w:szCs w:val="18"/>
          <w:lang w:val="en-GB"/>
        </w:rPr>
        <w:fldChar w:fldCharType="begin">
          <w:ffData>
            <w:name w:val=""/>
            <w:enabled/>
            <w:calcOnExit w:val="0"/>
            <w:checkBox>
              <w:size w:val="16"/>
              <w:default w:val="0"/>
            </w:checkBox>
          </w:ffData>
        </w:fldChar>
      </w:r>
      <w:r w:rsidR="00C73969" w:rsidRPr="004123C8">
        <w:rPr>
          <w:rFonts w:ascii="Open Sans" w:hAnsi="Open Sans" w:cs="Open Sans"/>
          <w:sz w:val="18"/>
          <w:szCs w:val="18"/>
          <w:lang w:val="en-GB"/>
        </w:rPr>
        <w:instrText xml:space="preserve"> FORMCHECKBOX </w:instrText>
      </w:r>
      <w:r w:rsidR="00C73969" w:rsidRPr="004123C8">
        <w:rPr>
          <w:rFonts w:ascii="Open Sans" w:hAnsi="Open Sans" w:cs="Open Sans"/>
          <w:sz w:val="18"/>
          <w:szCs w:val="18"/>
          <w:lang w:val="en-GB"/>
        </w:rPr>
      </w:r>
      <w:r w:rsidR="00C73969" w:rsidRPr="004123C8">
        <w:rPr>
          <w:rFonts w:ascii="Open Sans" w:hAnsi="Open Sans" w:cs="Open Sans"/>
          <w:sz w:val="18"/>
          <w:szCs w:val="18"/>
          <w:lang w:val="en-GB"/>
        </w:rPr>
        <w:fldChar w:fldCharType="separate"/>
      </w:r>
      <w:r w:rsidR="00C73969"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Minimum mandatory technical specifications and tender requirements.        </w:t>
      </w:r>
    </w:p>
    <w:p w14:paraId="262E6E4C" w14:textId="77777777"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hAnsi="Open Sans" w:cs="Open Sans"/>
          <w:sz w:val="18"/>
          <w:szCs w:val="18"/>
          <w:lang w:val="en-GB"/>
        </w:rPr>
        <w:t xml:space="preserve">         </w:t>
      </w:r>
      <w:r w:rsidRPr="004123C8">
        <w:rPr>
          <w:rFonts w:ascii="Open Sans" w:hAnsi="Open Sans" w:cs="Open Sans"/>
          <w:sz w:val="18"/>
          <w:szCs w:val="18"/>
          <w:lang w:val="en-GB"/>
        </w:rPr>
        <w:fldChar w:fldCharType="begin">
          <w:ffData>
            <w:name w:val=""/>
            <w:enabled/>
            <w:calcOnExit w:val="0"/>
            <w:checkBox>
              <w:size w:val="16"/>
              <w:default w:val="0"/>
            </w:checkBox>
          </w:ffData>
        </w:fldChar>
      </w:r>
      <w:r w:rsidRPr="004123C8">
        <w:rPr>
          <w:rFonts w:ascii="Open Sans" w:hAnsi="Open Sans" w:cs="Open Sans"/>
          <w:sz w:val="18"/>
          <w:szCs w:val="18"/>
          <w:lang w:val="en-GB"/>
        </w:rPr>
        <w:instrText xml:space="preserve"> FORMCHECKBOX </w:instrText>
      </w:r>
      <w:r w:rsidRPr="004123C8">
        <w:rPr>
          <w:rFonts w:ascii="Open Sans" w:hAnsi="Open Sans" w:cs="Open Sans"/>
          <w:sz w:val="18"/>
          <w:szCs w:val="18"/>
          <w:lang w:val="en-GB"/>
        </w:rPr>
      </w:r>
      <w:r w:rsidRPr="004123C8">
        <w:rPr>
          <w:rFonts w:ascii="Open Sans" w:hAnsi="Open Sans" w:cs="Open Sans"/>
          <w:sz w:val="18"/>
          <w:szCs w:val="18"/>
          <w:lang w:val="en-GB"/>
        </w:rPr>
        <w:fldChar w:fldCharType="separate"/>
      </w:r>
      <w:r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Evaluation criteria.</w:t>
      </w:r>
    </w:p>
    <w:p w14:paraId="5E4A0F7B" w14:textId="77777777"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hAnsi="Open Sans" w:cs="Open Sans"/>
          <w:sz w:val="18"/>
          <w:szCs w:val="18"/>
          <w:lang w:val="en-GB"/>
        </w:rPr>
        <w:t xml:space="preserve">         </w:t>
      </w:r>
      <w:r w:rsidRPr="004123C8">
        <w:rPr>
          <w:rFonts w:ascii="Open Sans" w:hAnsi="Open Sans" w:cs="Open Sans"/>
          <w:sz w:val="18"/>
          <w:szCs w:val="18"/>
          <w:lang w:val="en-GB"/>
        </w:rPr>
        <w:fldChar w:fldCharType="begin">
          <w:ffData>
            <w:name w:val=""/>
            <w:enabled/>
            <w:calcOnExit w:val="0"/>
            <w:checkBox>
              <w:size w:val="16"/>
              <w:default w:val="0"/>
            </w:checkBox>
          </w:ffData>
        </w:fldChar>
      </w:r>
      <w:r w:rsidRPr="004123C8">
        <w:rPr>
          <w:rFonts w:ascii="Open Sans" w:hAnsi="Open Sans" w:cs="Open Sans"/>
          <w:sz w:val="18"/>
          <w:szCs w:val="18"/>
          <w:lang w:val="en-GB"/>
        </w:rPr>
        <w:instrText xml:space="preserve"> FORMCHECKBOX </w:instrText>
      </w:r>
      <w:r w:rsidRPr="004123C8">
        <w:rPr>
          <w:rFonts w:ascii="Open Sans" w:hAnsi="Open Sans" w:cs="Open Sans"/>
          <w:sz w:val="18"/>
          <w:szCs w:val="18"/>
          <w:lang w:val="en-GB"/>
        </w:rPr>
      </w:r>
      <w:r w:rsidRPr="004123C8">
        <w:rPr>
          <w:rFonts w:ascii="Open Sans" w:hAnsi="Open Sans" w:cs="Open Sans"/>
          <w:sz w:val="18"/>
          <w:szCs w:val="18"/>
          <w:lang w:val="en-GB"/>
        </w:rPr>
        <w:fldChar w:fldCharType="separate"/>
      </w:r>
      <w:r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Contract terms &amp; conditions, KPIs and performance evaluation.</w:t>
      </w:r>
    </w:p>
    <w:p w14:paraId="5541C566" w14:textId="58B4CA79" w:rsidR="00C73969" w:rsidRPr="004123C8" w:rsidRDefault="009F6974" w:rsidP="001C3354">
      <w:pPr>
        <w:jc w:val="both"/>
        <w:rPr>
          <w:rFonts w:ascii="Open Sans" w:hAnsi="Open Sans" w:cs="Open Sans"/>
          <w:sz w:val="18"/>
          <w:szCs w:val="18"/>
          <w:lang w:val="en-GB"/>
        </w:rPr>
      </w:pPr>
      <w:r w:rsidRPr="004123C8">
        <w:rPr>
          <w:rFonts w:ascii="Open Sans" w:hAnsi="Open Sans" w:cs="Open Sans"/>
          <w:sz w:val="18"/>
          <w:szCs w:val="18"/>
          <w:lang w:val="en-GB"/>
        </w:rPr>
        <w:t xml:space="preserve">         </w:t>
      </w:r>
      <w:r w:rsidRPr="004123C8">
        <w:rPr>
          <w:rFonts w:ascii="Open Sans" w:hAnsi="Open Sans" w:cs="Open Sans"/>
          <w:sz w:val="18"/>
          <w:szCs w:val="18"/>
          <w:lang w:val="en-GB"/>
        </w:rPr>
        <w:fldChar w:fldCharType="begin">
          <w:ffData>
            <w:name w:val=""/>
            <w:enabled/>
            <w:calcOnExit w:val="0"/>
            <w:checkBox>
              <w:size w:val="16"/>
              <w:default w:val="0"/>
            </w:checkBox>
          </w:ffData>
        </w:fldChar>
      </w:r>
      <w:r w:rsidRPr="004123C8">
        <w:rPr>
          <w:rFonts w:ascii="Open Sans" w:hAnsi="Open Sans" w:cs="Open Sans"/>
          <w:sz w:val="18"/>
          <w:szCs w:val="18"/>
          <w:lang w:val="en-GB"/>
        </w:rPr>
        <w:instrText xml:space="preserve"> FORMCHECKBOX </w:instrText>
      </w:r>
      <w:r w:rsidRPr="004123C8">
        <w:rPr>
          <w:rFonts w:ascii="Open Sans" w:hAnsi="Open Sans" w:cs="Open Sans"/>
          <w:sz w:val="18"/>
          <w:szCs w:val="18"/>
          <w:lang w:val="en-GB"/>
        </w:rPr>
      </w:r>
      <w:r w:rsidRPr="004123C8">
        <w:rPr>
          <w:rFonts w:ascii="Open Sans" w:hAnsi="Open Sans" w:cs="Open Sans"/>
          <w:sz w:val="18"/>
          <w:szCs w:val="18"/>
          <w:lang w:val="en-GB"/>
        </w:rPr>
        <w:fldChar w:fldCharType="separate"/>
      </w:r>
      <w:r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Other.</w:t>
      </w:r>
    </w:p>
    <w:tbl>
      <w:tblPr>
        <w:tblStyle w:val="TableGrid"/>
        <w:tblW w:w="0" w:type="auto"/>
        <w:tblLook w:val="04A0" w:firstRow="1" w:lastRow="0" w:firstColumn="1" w:lastColumn="0" w:noHBand="0" w:noVBand="1"/>
      </w:tblPr>
      <w:tblGrid>
        <w:gridCol w:w="2561"/>
        <w:gridCol w:w="6501"/>
      </w:tblGrid>
      <w:tr w:rsidR="00C73D06" w:rsidRPr="00641E9E" w14:paraId="29F9B29A" w14:textId="77777777" w:rsidTr="0006668E">
        <w:trPr>
          <w:trHeight w:val="464"/>
        </w:trPr>
        <w:tc>
          <w:tcPr>
            <w:tcW w:w="2561" w:type="dxa"/>
            <w:shd w:val="clear" w:color="auto" w:fill="DEEAF6" w:themeFill="accent5" w:themeFillTint="33"/>
          </w:tcPr>
          <w:p w14:paraId="20569D3D" w14:textId="22A5F7CA" w:rsidR="00C73D06" w:rsidRPr="004A00BE" w:rsidRDefault="00C73D06" w:rsidP="00C9186A">
            <w:pPr>
              <w:rPr>
                <w:rFonts w:ascii="Open Sans" w:hAnsi="Open Sans" w:cs="Open Sans"/>
                <w:color w:val="002060"/>
                <w:lang w:val="en-GB"/>
              </w:rPr>
            </w:pPr>
            <w:r w:rsidRPr="004A00BE">
              <w:rPr>
                <w:rFonts w:ascii="Open Sans" w:eastAsia="Times New Roman" w:hAnsi="Open Sans" w:cs="Open Sans"/>
                <w:color w:val="002060"/>
                <w:sz w:val="24"/>
                <w:szCs w:val="24"/>
                <w:bdr w:val="none" w:sz="0" w:space="0" w:color="auto" w:frame="1"/>
                <w:lang w:val="en-GB"/>
              </w:rPr>
              <w:t>Level 1 indicators</w:t>
            </w:r>
          </w:p>
        </w:tc>
        <w:tc>
          <w:tcPr>
            <w:tcW w:w="6501" w:type="dxa"/>
            <w:shd w:val="clear" w:color="auto" w:fill="DEEAF6" w:themeFill="accent5" w:themeFillTint="33"/>
          </w:tcPr>
          <w:p w14:paraId="161AA39F" w14:textId="08A508E1" w:rsidR="00C73D06" w:rsidRPr="004A00BE" w:rsidRDefault="00C73D06" w:rsidP="00C9186A">
            <w:pPr>
              <w:rPr>
                <w:rFonts w:ascii="Open Sans" w:eastAsia="Times New Roman" w:hAnsi="Open Sans" w:cs="Open Sans"/>
                <w:color w:val="002060"/>
                <w:sz w:val="24"/>
                <w:szCs w:val="24"/>
                <w:bdr w:val="none" w:sz="0" w:space="0" w:color="auto" w:frame="1"/>
                <w:lang w:val="en-GB"/>
              </w:rPr>
            </w:pPr>
            <w:r w:rsidRPr="004A00BE">
              <w:rPr>
                <w:rFonts w:ascii="Open Sans" w:eastAsia="Times New Roman" w:hAnsi="Open Sans" w:cs="Open Sans"/>
                <w:color w:val="002060"/>
                <w:sz w:val="24"/>
                <w:szCs w:val="24"/>
                <w:bdr w:val="none" w:sz="0" w:space="0" w:color="auto" w:frame="1"/>
                <w:lang w:val="en-GB"/>
              </w:rPr>
              <w:t>Level 2 sub-indicators</w:t>
            </w:r>
            <w:r w:rsidR="00C9186A" w:rsidRPr="004A00BE">
              <w:rPr>
                <w:rFonts w:ascii="Open Sans" w:eastAsia="Times New Roman" w:hAnsi="Open Sans" w:cs="Open Sans"/>
                <w:color w:val="002060"/>
                <w:sz w:val="24"/>
                <w:szCs w:val="24"/>
                <w:bdr w:val="none" w:sz="0" w:space="0" w:color="auto" w:frame="1"/>
                <w:lang w:val="en-GB"/>
              </w:rPr>
              <w:t xml:space="preserve"> </w:t>
            </w:r>
          </w:p>
          <w:p w14:paraId="35DAE7C1" w14:textId="63502EA7" w:rsidR="00C73D06" w:rsidRPr="004A00BE" w:rsidRDefault="00C73D06" w:rsidP="00C9186A">
            <w:pPr>
              <w:rPr>
                <w:rFonts w:ascii="Open Sans" w:eastAsia="Times New Roman" w:hAnsi="Open Sans" w:cs="Open Sans"/>
                <w:b/>
                <w:bCs/>
                <w:color w:val="002060"/>
                <w:bdr w:val="none" w:sz="0" w:space="0" w:color="auto" w:frame="1"/>
                <w:lang w:val="en-GB"/>
              </w:rPr>
            </w:pPr>
          </w:p>
        </w:tc>
      </w:tr>
      <w:tr w:rsidR="00C73D06" w:rsidRPr="00641E9E" w14:paraId="786020B9" w14:textId="77777777" w:rsidTr="0006668E">
        <w:tc>
          <w:tcPr>
            <w:tcW w:w="2561" w:type="dxa"/>
          </w:tcPr>
          <w:p w14:paraId="4BF734E7" w14:textId="7E1C92FB" w:rsidR="00C73D06" w:rsidRPr="00641E9E" w:rsidRDefault="00152A36">
            <w:pPr>
              <w:rPr>
                <w:rFonts w:ascii="Open Sans" w:hAnsi="Open Sans" w:cs="Open Sans"/>
                <w:sz w:val="20"/>
                <w:szCs w:val="20"/>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A039F2">
              <w:rPr>
                <w:rFonts w:ascii="Open Sans" w:eastAsia="Times New Roman" w:hAnsi="Open Sans" w:cs="Open Sans"/>
                <w:b/>
                <w:bC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Prevention of pollution</w:t>
            </w:r>
            <w:r w:rsidRPr="00152A36">
              <w:rPr>
                <w:rFonts w:ascii="Open Sans" w:eastAsia="Times New Roman" w:hAnsi="Open Sans" w:cs="Open Sans"/>
                <w:b/>
                <w:bCs/>
                <w:color w:val="005689"/>
                <w:sz w:val="20"/>
                <w:szCs w:val="20"/>
                <w:bdr w:val="none" w:sz="0" w:space="0" w:color="auto" w:frame="1"/>
                <w:lang w:val="en-GB"/>
              </w:rPr>
              <w:t xml:space="preserve"> </w:t>
            </w:r>
          </w:p>
        </w:tc>
        <w:tc>
          <w:tcPr>
            <w:tcW w:w="6501" w:type="dxa"/>
          </w:tcPr>
          <w:p w14:paraId="347A9EB9" w14:textId="7B51AA2B" w:rsidR="007C2C13" w:rsidRDefault="007C2C13" w:rsidP="00752107">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00C73D06" w:rsidRPr="00641E9E">
              <w:rPr>
                <w:rFonts w:ascii="Open Sans" w:hAnsi="Open Sans" w:cs="Open Sans"/>
                <w:sz w:val="18"/>
                <w:szCs w:val="18"/>
                <w:lang w:val="en-GB"/>
              </w:rPr>
              <w:t>Requirement for a corporate environmental policy or an environmental management system (ISO 14001 or equivalent)</w:t>
            </w:r>
            <w:r w:rsidR="003D10D9">
              <w:rPr>
                <w:rFonts w:ascii="Open Sans" w:hAnsi="Open Sans" w:cs="Open Sans"/>
                <w:sz w:val="18"/>
                <w:szCs w:val="18"/>
                <w:lang w:val="en-GB"/>
              </w:rPr>
              <w:t>.</w:t>
            </w:r>
          </w:p>
          <w:p w14:paraId="4CE209F1" w14:textId="473DB12F" w:rsidR="006F0F97" w:rsidRPr="00641E9E" w:rsidRDefault="003D07B3" w:rsidP="006F0F9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eastAsia="zh-CN"/>
              </w:rPr>
              <w:fldChar w:fldCharType="begin">
                <w:ffData>
                  <w:name w:val=""/>
                  <w:enabled/>
                  <w:calcOnExit w:val="0"/>
                  <w:checkBox>
                    <w:size w:val="16"/>
                    <w:default w:val="1"/>
                  </w:checkBox>
                </w:ffData>
              </w:fldChar>
            </w:r>
            <w:r>
              <w:rPr>
                <w:rFonts w:ascii="Open Sans" w:hAnsi="Open Sans" w:cs="Open Sans"/>
                <w:sz w:val="18"/>
                <w:szCs w:val="18"/>
                <w:lang w:val="en-GB" w:eastAsia="zh-CN"/>
              </w:rPr>
              <w:instrText xml:space="preserve"> FORMCHECKBOX </w:instrText>
            </w:r>
            <w:r>
              <w:rPr>
                <w:rFonts w:ascii="Open Sans" w:hAnsi="Open Sans" w:cs="Open Sans"/>
                <w:sz w:val="18"/>
                <w:szCs w:val="18"/>
                <w:lang w:val="en-GB" w:eastAsia="zh-CN"/>
              </w:rPr>
            </w:r>
            <w:r>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7C2C13" w:rsidRPr="00641E9E">
              <w:rPr>
                <w:rFonts w:ascii="Open Sans" w:hAnsi="Open Sans" w:cs="Open Sans"/>
                <w:sz w:val="18"/>
                <w:szCs w:val="18"/>
                <w:lang w:val="en-GB" w:eastAsia="zh-CN"/>
              </w:rPr>
              <w:t xml:space="preserve"> Requirement </w:t>
            </w:r>
            <w:r w:rsidR="00C73D06" w:rsidRPr="00641E9E">
              <w:rPr>
                <w:rFonts w:ascii="Open Sans" w:hAnsi="Open Sans" w:cs="Open Sans"/>
                <w:sz w:val="18"/>
                <w:szCs w:val="18"/>
                <w:lang w:val="en-GB"/>
              </w:rPr>
              <w:t>about the proper use, storage, movement and disposal of environmentally hazardous materials and chemicals</w:t>
            </w:r>
            <w:r w:rsidR="003D10D9">
              <w:rPr>
                <w:rFonts w:ascii="Open Sans" w:hAnsi="Open Sans" w:cs="Open Sans"/>
                <w:sz w:val="18"/>
                <w:szCs w:val="18"/>
                <w:lang w:val="en-GB"/>
              </w:rPr>
              <w:t>.</w:t>
            </w:r>
          </w:p>
          <w:p w14:paraId="4D5AD911" w14:textId="69C84228" w:rsidR="007C2C13" w:rsidRPr="00641E9E" w:rsidRDefault="00C73969" w:rsidP="0075210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eastAsia="zh-CN"/>
              </w:rPr>
              <w:fldChar w:fldCharType="begin">
                <w:ffData>
                  <w:name w:val=""/>
                  <w:enabled/>
                  <w:calcOnExit w:val="0"/>
                  <w:checkBox>
                    <w:size w:val="16"/>
                    <w:default w:val="0"/>
                  </w:checkBox>
                </w:ffData>
              </w:fldChar>
            </w:r>
            <w:r>
              <w:rPr>
                <w:rFonts w:ascii="Open Sans" w:hAnsi="Open Sans" w:cs="Open Sans"/>
                <w:sz w:val="18"/>
                <w:szCs w:val="18"/>
                <w:lang w:val="en-GB" w:eastAsia="zh-CN"/>
              </w:rPr>
              <w:instrText xml:space="preserve"> FORMCHECKBOX </w:instrText>
            </w:r>
            <w:r>
              <w:rPr>
                <w:rFonts w:ascii="Open Sans" w:hAnsi="Open Sans" w:cs="Open Sans"/>
                <w:sz w:val="18"/>
                <w:szCs w:val="18"/>
                <w:lang w:val="en-GB" w:eastAsia="zh-CN"/>
              </w:rPr>
            </w:r>
            <w:r>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7C2C13" w:rsidRPr="00641E9E">
              <w:rPr>
                <w:rFonts w:ascii="Open Sans" w:hAnsi="Open Sans" w:cs="Open Sans"/>
                <w:sz w:val="18"/>
                <w:szCs w:val="18"/>
                <w:lang w:val="en-GB" w:eastAsia="zh-CN"/>
              </w:rPr>
              <w:t xml:space="preserve"> Requirement f</w:t>
            </w:r>
            <w:r w:rsidR="00C73D06" w:rsidRPr="00641E9E">
              <w:rPr>
                <w:rFonts w:ascii="Open Sans" w:hAnsi="Open Sans" w:cs="Open Sans"/>
                <w:sz w:val="18"/>
                <w:szCs w:val="18"/>
                <w:lang w:val="en-GB"/>
              </w:rPr>
              <w:t>or air emissions generated from operations to be characterized, monitored, controlled or/and treated (e.g. volatile organic compounds, aerosols, corrosives, particulates and ozone depleting substances, etc.)</w:t>
            </w:r>
            <w:r w:rsidR="003D10D9">
              <w:rPr>
                <w:rFonts w:ascii="Open Sans" w:hAnsi="Open Sans" w:cs="Open Sans"/>
                <w:sz w:val="18"/>
                <w:szCs w:val="18"/>
                <w:lang w:val="en-GB"/>
              </w:rPr>
              <w:t>.</w:t>
            </w:r>
          </w:p>
          <w:p w14:paraId="0418A38A" w14:textId="4CB70C1D" w:rsidR="007C2C13" w:rsidRPr="00641E9E" w:rsidRDefault="007C2C13"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00C73D06" w:rsidRPr="00641E9E">
              <w:rPr>
                <w:rFonts w:ascii="Open Sans" w:hAnsi="Open Sans" w:cs="Open Sans"/>
                <w:sz w:val="18"/>
                <w:szCs w:val="18"/>
                <w:lang w:val="en-GB"/>
              </w:rPr>
              <w:t>Requirements for solid waste management and reporting on waste generated/recycled/etc.                                                                                            </w:t>
            </w:r>
          </w:p>
          <w:p w14:paraId="633156BA" w14:textId="5DFF2467" w:rsidR="00C73D06" w:rsidRPr="00641E9E" w:rsidRDefault="007C2C13"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val="0"/>
                  <w:calcOnExit w:val="0"/>
                  <w:checkBox>
                    <w:size w:val="16"/>
                    <w:default w:val="0"/>
                  </w:checkBox>
                </w:ffData>
              </w:fldChar>
            </w:r>
            <w:bookmarkStart w:id="1" w:name="Check2"/>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bookmarkEnd w:id="1"/>
            <w:r w:rsidRPr="00641E9E">
              <w:rPr>
                <w:rFonts w:ascii="Open Sans" w:hAnsi="Open Sans" w:cs="Open Sans"/>
                <w:sz w:val="18"/>
                <w:szCs w:val="18"/>
                <w:lang w:val="en-GB" w:eastAsia="zh-CN"/>
              </w:rPr>
              <w:t xml:space="preserve"> </w:t>
            </w:r>
            <w:r w:rsidR="00C73D06" w:rsidRPr="00641E9E">
              <w:rPr>
                <w:rFonts w:ascii="Open Sans" w:hAnsi="Open Sans" w:cs="Open Sans"/>
                <w:sz w:val="18"/>
                <w:szCs w:val="18"/>
                <w:lang w:val="en-GB"/>
              </w:rPr>
              <w:t>Requirements for wastewater management and prevention of effluents reaching water bodies including ground water.</w:t>
            </w:r>
          </w:p>
          <w:p w14:paraId="69DEF72B" w14:textId="4BDFD7F0" w:rsidR="00352618" w:rsidRDefault="007C2C13" w:rsidP="001C3354">
            <w:pPr>
              <w:jc w:val="both"/>
              <w:rPr>
                <w:rFonts w:ascii="Open Sans" w:eastAsia="Times New Roman" w:hAnsi="Open Sans" w:cs="Open Sans"/>
                <w:sz w:val="18"/>
                <w:szCs w:val="18"/>
                <w:lang w:val="en-GB"/>
              </w:rPr>
            </w:pPr>
            <w:r w:rsidRPr="00641E9E">
              <w:rPr>
                <w:rFonts w:ascii="Open Sans" w:hAnsi="Open Sans" w:cs="Open Sans"/>
                <w:sz w:val="18"/>
                <w:szCs w:val="18"/>
                <w:lang w:val="en-GB"/>
              </w:rPr>
              <w:fldChar w:fldCharType="begin">
                <w:ffData>
                  <w:name w:val="Check2"/>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00C73D06" w:rsidRPr="00641E9E">
              <w:rPr>
                <w:rFonts w:ascii="Open Sans" w:eastAsia="Times New Roman" w:hAnsi="Open Sans" w:cs="Open Sans"/>
                <w:sz w:val="18"/>
                <w:szCs w:val="18"/>
                <w:lang w:val="en-GB"/>
              </w:rPr>
              <w:t xml:space="preserve">Other      </w:t>
            </w:r>
          </w:p>
          <w:p w14:paraId="65B553E3" w14:textId="7B0DBA66" w:rsidR="00C73D06" w:rsidRPr="00641E9E" w:rsidRDefault="00C73D06" w:rsidP="009F6974">
            <w:pPr>
              <w:jc w:val="both"/>
              <w:rPr>
                <w:rFonts w:ascii="Open Sans" w:eastAsia="Times New Roman" w:hAnsi="Open Sans" w:cs="Open Sans"/>
                <w:sz w:val="18"/>
                <w:szCs w:val="18"/>
                <w:lang w:val="en-GB"/>
              </w:rPr>
            </w:pPr>
            <w:r w:rsidRPr="00641E9E">
              <w:rPr>
                <w:rFonts w:ascii="Open Sans" w:eastAsia="Times New Roman" w:hAnsi="Open Sans" w:cs="Open Sans"/>
                <w:sz w:val="18"/>
                <w:szCs w:val="18"/>
                <w:lang w:val="en-GB"/>
              </w:rPr>
              <w:t xml:space="preserve">                                                                                       </w:t>
            </w:r>
          </w:p>
        </w:tc>
      </w:tr>
      <w:tr w:rsidR="00C73D06" w:rsidRPr="00641E9E" w14:paraId="3D5DCE0C" w14:textId="77777777" w:rsidTr="0006668E">
        <w:tc>
          <w:tcPr>
            <w:tcW w:w="2561" w:type="dxa"/>
          </w:tcPr>
          <w:p w14:paraId="40196E5E" w14:textId="3DB188AA" w:rsidR="003D10D9" w:rsidRPr="003D10D9" w:rsidRDefault="003D10D9" w:rsidP="003D10D9">
            <w:pPr>
              <w:rPr>
                <w:rFonts w:ascii="Open Sans" w:eastAsia="Times New Roman" w:hAnsi="Open Sans" w:cs="Open Sans"/>
                <w:color w:val="005689"/>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lastRenderedPageBreak/>
              <w:t>Environmental</w:t>
            </w:r>
            <w:r w:rsidRPr="00D714AE">
              <w:rPr>
                <w:rFonts w:ascii="Open Sans" w:eastAsia="Times New Roman" w:hAnsi="Open Sans" w:cs="Open Sans"/>
                <w:color w:val="002060"/>
                <w:sz w:val="24"/>
                <w:szCs w:val="24"/>
                <w:bdr w:val="none" w:sz="0" w:space="0" w:color="auto" w:frame="1"/>
                <w:lang w:val="en-GB"/>
              </w:rPr>
              <w:t>:</w:t>
            </w:r>
            <w:r w:rsidRPr="003D10D9">
              <w:rPr>
                <w:rFonts w:ascii="Open Sans" w:eastAsia="Times New Roman" w:hAnsi="Open Sans" w:cs="Open San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Sustainable resource use</w:t>
            </w:r>
          </w:p>
          <w:p w14:paraId="20F05D95" w14:textId="77777777" w:rsidR="003D10D9" w:rsidRDefault="003D10D9" w:rsidP="003D10D9">
            <w:pPr>
              <w:rPr>
                <w:lang w:val="en-GB"/>
              </w:rPr>
            </w:pPr>
          </w:p>
          <w:p w14:paraId="6151B910" w14:textId="77777777" w:rsidR="003D10D9" w:rsidRDefault="003D10D9" w:rsidP="003D10D9">
            <w:pPr>
              <w:rPr>
                <w:lang w:val="en-GB"/>
              </w:rPr>
            </w:pPr>
          </w:p>
          <w:p w14:paraId="78B1FD5F" w14:textId="77777777" w:rsidR="003D10D9" w:rsidRDefault="003D10D9" w:rsidP="003D10D9">
            <w:pPr>
              <w:rPr>
                <w:lang w:val="en-GB"/>
              </w:rPr>
            </w:pPr>
          </w:p>
          <w:p w14:paraId="6C9D7950" w14:textId="77777777" w:rsidR="003D10D9" w:rsidRDefault="003D10D9" w:rsidP="003D10D9">
            <w:pPr>
              <w:rPr>
                <w:lang w:val="en-GB"/>
              </w:rPr>
            </w:pPr>
          </w:p>
          <w:p w14:paraId="7719EA3F" w14:textId="77777777" w:rsidR="003D10D9" w:rsidRDefault="003D10D9" w:rsidP="003D10D9">
            <w:pPr>
              <w:rPr>
                <w:lang w:val="en-GB"/>
              </w:rPr>
            </w:pPr>
          </w:p>
          <w:p w14:paraId="7296F055" w14:textId="383C6B99" w:rsidR="003D10D9" w:rsidRPr="00641E9E" w:rsidRDefault="003D10D9" w:rsidP="003D10D9">
            <w:pPr>
              <w:rPr>
                <w:lang w:val="en-GB"/>
              </w:rPr>
            </w:pPr>
          </w:p>
        </w:tc>
        <w:tc>
          <w:tcPr>
            <w:tcW w:w="6501" w:type="dxa"/>
          </w:tcPr>
          <w:p w14:paraId="6F90D6C4" w14:textId="5BCAAC85" w:rsidR="003D10D9" w:rsidRDefault="003D10D9" w:rsidP="00752107">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Requirement for </w:t>
            </w:r>
            <w:r w:rsidRPr="003D10D9">
              <w:rPr>
                <w:rFonts w:ascii="Open Sans" w:hAnsi="Open Sans" w:cs="Open Sans"/>
                <w:sz w:val="18"/>
                <w:szCs w:val="18"/>
                <w:lang w:val="en-GB"/>
              </w:rPr>
              <w:t>officially recognized eco-labels or equivalent schemes that promote sustainable resource use</w:t>
            </w:r>
            <w:r>
              <w:rPr>
                <w:rFonts w:ascii="Open Sans" w:hAnsi="Open Sans" w:cs="Open Sans"/>
                <w:sz w:val="18"/>
                <w:szCs w:val="18"/>
                <w:lang w:val="en-GB"/>
              </w:rPr>
              <w:t>.</w:t>
            </w:r>
          </w:p>
          <w:p w14:paraId="47AD1285" w14:textId="0A697D01" w:rsidR="003D10D9" w:rsidRPr="00641E9E" w:rsidRDefault="003D10D9"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3D10D9">
              <w:rPr>
                <w:rFonts w:ascii="Open Sans" w:hAnsi="Open Sans" w:cs="Open Sans"/>
                <w:sz w:val="18"/>
                <w:szCs w:val="18"/>
                <w:lang w:val="en-GB" w:eastAsia="zh-CN"/>
              </w:rPr>
              <w:t>on design and production to use recycled, recyclable, biodegradable, re-used, reusable, renewable or compostable materials</w:t>
            </w:r>
            <w:r>
              <w:rPr>
                <w:rFonts w:ascii="Open Sans" w:hAnsi="Open Sans" w:cs="Open Sans"/>
                <w:sz w:val="18"/>
                <w:szCs w:val="18"/>
                <w:lang w:val="en-GB" w:eastAsia="zh-CN"/>
              </w:rPr>
              <w:t>.</w:t>
            </w:r>
            <w:r w:rsidRPr="003D10D9">
              <w:rPr>
                <w:rFonts w:ascii="Open Sans" w:hAnsi="Open Sans" w:cs="Open Sans"/>
                <w:sz w:val="18"/>
                <w:szCs w:val="18"/>
                <w:lang w:val="en-GB" w:eastAsia="zh-CN"/>
              </w:rPr>
              <w:t xml:space="preserve"> </w:t>
            </w:r>
          </w:p>
          <w:p w14:paraId="70C12A1B" w14:textId="3D7946AB" w:rsidR="00AE79EB" w:rsidRDefault="003D10D9"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f</w:t>
            </w:r>
            <w:r w:rsidRPr="00641E9E">
              <w:rPr>
                <w:rFonts w:ascii="Open Sans" w:hAnsi="Open Sans" w:cs="Open Sans"/>
                <w:sz w:val="18"/>
                <w:szCs w:val="18"/>
                <w:lang w:val="en-GB"/>
              </w:rPr>
              <w:t xml:space="preserve">or </w:t>
            </w:r>
            <w:r w:rsidRPr="003D10D9">
              <w:rPr>
                <w:rFonts w:ascii="Open Sans" w:hAnsi="Open Sans" w:cs="Open Sans"/>
                <w:sz w:val="18"/>
                <w:szCs w:val="18"/>
                <w:lang w:val="en-GB"/>
              </w:rPr>
              <w:t>a take-back programme/end-of-life management system</w:t>
            </w:r>
            <w:r>
              <w:rPr>
                <w:rFonts w:ascii="Open Sans" w:hAnsi="Open Sans" w:cs="Open Sans"/>
                <w:sz w:val="18"/>
                <w:szCs w:val="18"/>
                <w:lang w:val="en-GB"/>
              </w:rPr>
              <w:t>.</w:t>
            </w:r>
          </w:p>
          <w:p w14:paraId="4C4657D1" w14:textId="0EE9FBC9" w:rsidR="003D10D9" w:rsidRPr="00641E9E" w:rsidRDefault="003D10D9"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641E9E">
              <w:rPr>
                <w:rFonts w:ascii="Open Sans" w:hAnsi="Open Sans" w:cs="Open Sans"/>
                <w:sz w:val="18"/>
                <w:szCs w:val="18"/>
                <w:lang w:val="en-GB"/>
              </w:rPr>
              <w:t xml:space="preserve">Requirements for </w:t>
            </w:r>
            <w:r w:rsidR="007844EC" w:rsidRPr="007844EC">
              <w:rPr>
                <w:rFonts w:ascii="Open Sans" w:hAnsi="Open Sans" w:cs="Open Sans"/>
                <w:sz w:val="18"/>
                <w:szCs w:val="18"/>
                <w:lang w:val="en-GB"/>
              </w:rPr>
              <w:t>reduced or bulk packaging of the product</w:t>
            </w:r>
            <w:r w:rsidR="007844EC">
              <w:rPr>
                <w:rFonts w:ascii="Open Sans" w:hAnsi="Open Sans" w:cs="Open Sans"/>
                <w:sz w:val="18"/>
                <w:szCs w:val="18"/>
                <w:lang w:val="en-GB"/>
              </w:rPr>
              <w:t>.</w:t>
            </w:r>
          </w:p>
          <w:p w14:paraId="238EEE6F" w14:textId="2005C30B" w:rsidR="00752107" w:rsidRPr="004D364D" w:rsidRDefault="003D10D9" w:rsidP="004D364D">
            <w:pPr>
              <w:jc w:val="both"/>
              <w:rPr>
                <w:rFonts w:ascii="Open Sans" w:eastAsia="Times New Roman" w:hAnsi="Open Sans" w:cs="Open Sans"/>
                <w:sz w:val="18"/>
                <w:szCs w:val="18"/>
                <w:lang w:val="en-GB"/>
              </w:rPr>
            </w:pPr>
            <w:r w:rsidRPr="00641E9E">
              <w:rPr>
                <w:rFonts w:ascii="Open Sans" w:hAnsi="Open Sans" w:cs="Open Sans"/>
                <w:sz w:val="18"/>
                <w:szCs w:val="18"/>
                <w:lang w:val="en-GB"/>
              </w:rPr>
              <w:fldChar w:fldCharType="begin">
                <w:ffData>
                  <w:name w:val="Check2"/>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C73D06" w:rsidRPr="00641E9E" w14:paraId="1D2E04FC" w14:textId="77777777" w:rsidTr="0006668E">
        <w:tc>
          <w:tcPr>
            <w:tcW w:w="2561" w:type="dxa"/>
          </w:tcPr>
          <w:p w14:paraId="20270286" w14:textId="77777777" w:rsidR="007844EC" w:rsidRDefault="007844EC" w:rsidP="007844EC">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3D10D9">
              <w:rPr>
                <w:rFonts w:ascii="Open Sans" w:eastAsia="Times New Roman" w:hAnsi="Open Sans" w:cs="Open San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Climate change mitigation and adaptation</w:t>
            </w:r>
          </w:p>
          <w:p w14:paraId="4922C4B0" w14:textId="77777777" w:rsidR="00C73D06" w:rsidRPr="00641E9E" w:rsidRDefault="00C73D06" w:rsidP="007844EC">
            <w:pPr>
              <w:rPr>
                <w:lang w:val="en-GB"/>
              </w:rPr>
            </w:pPr>
          </w:p>
        </w:tc>
        <w:tc>
          <w:tcPr>
            <w:tcW w:w="6501" w:type="dxa"/>
          </w:tcPr>
          <w:p w14:paraId="3CBE05D5" w14:textId="45485A0F" w:rsidR="007844EC" w:rsidRDefault="003A3673" w:rsidP="00752107">
            <w:pPr>
              <w:jc w:val="both"/>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7844EC" w:rsidRPr="00641E9E">
              <w:rPr>
                <w:rFonts w:ascii="Open Sans" w:hAnsi="Open Sans" w:cs="Open Sans"/>
                <w:sz w:val="18"/>
                <w:szCs w:val="18"/>
                <w:lang w:val="en-GB"/>
              </w:rPr>
              <w:t xml:space="preserve">Requirement </w:t>
            </w:r>
            <w:r w:rsidR="007844EC">
              <w:rPr>
                <w:rFonts w:ascii="Open Sans" w:hAnsi="Open Sans" w:cs="Open Sans"/>
                <w:sz w:val="18"/>
                <w:szCs w:val="18"/>
                <w:lang w:val="en-GB"/>
              </w:rPr>
              <w:t>t</w:t>
            </w:r>
            <w:r w:rsidR="007844EC" w:rsidRPr="007844EC">
              <w:rPr>
                <w:rFonts w:ascii="Open Sans" w:hAnsi="Open Sans" w:cs="Open Sans"/>
                <w:sz w:val="18"/>
                <w:szCs w:val="18"/>
                <w:lang w:val="en-GB"/>
              </w:rPr>
              <w:t>o report regularly and publicly on greenhouse gas emissions (e.g.,</w:t>
            </w:r>
            <w:r w:rsidR="007844EC">
              <w:rPr>
                <w:rFonts w:ascii="Open Sans" w:hAnsi="Open Sans" w:cs="Open Sans"/>
                <w:sz w:val="18"/>
                <w:szCs w:val="18"/>
                <w:lang w:val="en-GB"/>
              </w:rPr>
              <w:t xml:space="preserve"> </w:t>
            </w:r>
            <w:r w:rsidR="007844EC" w:rsidRPr="007844EC">
              <w:rPr>
                <w:rFonts w:ascii="Open Sans" w:hAnsi="Open Sans" w:cs="Open Sans"/>
                <w:sz w:val="18"/>
                <w:szCs w:val="18"/>
                <w:lang w:val="en-GB"/>
              </w:rPr>
              <w:t>Carbon Disclosure Project, etc.)</w:t>
            </w:r>
          </w:p>
          <w:p w14:paraId="015B11CC" w14:textId="77777777" w:rsidR="007844EC" w:rsidRDefault="007844EC"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7844EC">
              <w:rPr>
                <w:rFonts w:ascii="Open Sans" w:hAnsi="Open Sans" w:cs="Open Sans"/>
                <w:sz w:val="18"/>
                <w:szCs w:val="18"/>
                <w:lang w:val="en-GB" w:eastAsia="zh-CN"/>
              </w:rPr>
              <w:t>to use low-carbon/energy-efficient technologies, minimum energy performance, and low power mode equipment</w:t>
            </w:r>
            <w:r>
              <w:rPr>
                <w:rFonts w:ascii="Open Sans" w:hAnsi="Open Sans" w:cs="Open Sans"/>
                <w:sz w:val="18"/>
                <w:szCs w:val="18"/>
                <w:lang w:val="en-GB" w:eastAsia="zh-CN"/>
              </w:rPr>
              <w:t>.</w:t>
            </w:r>
          </w:p>
          <w:p w14:paraId="2657BA1B" w14:textId="0C0CBA2B" w:rsidR="007844EC" w:rsidRDefault="007844EC"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7844EC">
              <w:rPr>
                <w:rFonts w:ascii="Open Sans" w:hAnsi="Open Sans" w:cs="Open Sans"/>
                <w:sz w:val="18"/>
                <w:szCs w:val="18"/>
                <w:lang w:val="en-GB" w:eastAsia="zh-CN"/>
              </w:rPr>
              <w:t>related to energy-efficient and clean transportation and logistics arrangements</w:t>
            </w:r>
            <w:r>
              <w:rPr>
                <w:rFonts w:ascii="Open Sans" w:hAnsi="Open Sans" w:cs="Open Sans"/>
                <w:sz w:val="18"/>
                <w:szCs w:val="18"/>
                <w:lang w:val="en-GB" w:eastAsia="zh-CN"/>
              </w:rPr>
              <w:t>.</w:t>
            </w:r>
            <w:r w:rsidRPr="007844EC">
              <w:rPr>
                <w:rFonts w:ascii="Open Sans" w:hAnsi="Open Sans" w:cs="Open Sans"/>
                <w:sz w:val="18"/>
                <w:szCs w:val="18"/>
                <w:lang w:val="en-GB" w:eastAsia="zh-CN"/>
              </w:rPr>
              <w:t xml:space="preserve">  </w:t>
            </w:r>
          </w:p>
          <w:p w14:paraId="1B5C73ED" w14:textId="6DC700F3" w:rsidR="007844EC" w:rsidRPr="00641E9E" w:rsidRDefault="007844EC"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641E9E">
              <w:rPr>
                <w:rFonts w:ascii="Open Sans" w:hAnsi="Open Sans" w:cs="Open Sans"/>
                <w:sz w:val="18"/>
                <w:szCs w:val="18"/>
                <w:lang w:val="en-GB"/>
              </w:rPr>
              <w:t xml:space="preserve">Requirements for </w:t>
            </w:r>
            <w:r w:rsidRPr="007844EC">
              <w:rPr>
                <w:rFonts w:ascii="Open Sans" w:hAnsi="Open Sans" w:cs="Open Sans"/>
                <w:sz w:val="18"/>
                <w:szCs w:val="18"/>
                <w:lang w:val="en-GB"/>
              </w:rPr>
              <w:t>carbon offsetting of emissions during</w:t>
            </w:r>
            <w:r>
              <w:rPr>
                <w:rFonts w:ascii="Open Sans" w:hAnsi="Open Sans" w:cs="Open Sans"/>
                <w:sz w:val="18"/>
                <w:szCs w:val="18"/>
                <w:lang w:val="en-GB"/>
              </w:rPr>
              <w:t xml:space="preserve"> </w:t>
            </w:r>
            <w:r w:rsidRPr="007844EC">
              <w:rPr>
                <w:rFonts w:ascii="Open Sans" w:hAnsi="Open Sans" w:cs="Open Sans"/>
                <w:sz w:val="18"/>
                <w:szCs w:val="18"/>
                <w:lang w:val="en-GB"/>
              </w:rPr>
              <w:t>production</w:t>
            </w:r>
            <w:r w:rsidRPr="00641E9E">
              <w:rPr>
                <w:rFonts w:ascii="Open Sans" w:hAnsi="Open Sans" w:cs="Open Sans"/>
                <w:sz w:val="18"/>
                <w:szCs w:val="18"/>
                <w:lang w:val="en-GB"/>
              </w:rPr>
              <w:t>.                                                                                            </w:t>
            </w:r>
          </w:p>
          <w:p w14:paraId="55E06921" w14:textId="181846CE" w:rsidR="00752107" w:rsidRPr="00752107" w:rsidRDefault="007844EC" w:rsidP="004D364D">
            <w:pPr>
              <w:jc w:val="both"/>
              <w:rPr>
                <w:rFonts w:ascii="Open Sans" w:eastAsia="Times New Roman" w:hAnsi="Open Sans" w:cs="Open Sans"/>
                <w:sz w:val="18"/>
                <w:szCs w:val="18"/>
                <w:lang w:val="en-GB"/>
              </w:rPr>
            </w:pPr>
            <w:r w:rsidRPr="00641E9E">
              <w:rPr>
                <w:rFonts w:ascii="Open Sans" w:hAnsi="Open Sans" w:cs="Open Sans"/>
                <w:sz w:val="18"/>
                <w:szCs w:val="18"/>
                <w:lang w:val="en-GB"/>
              </w:rPr>
              <w:fldChar w:fldCharType="begin">
                <w:ffData>
                  <w:name w:val="Check2"/>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 xml:space="preserve">Other </w:t>
            </w:r>
          </w:p>
        </w:tc>
      </w:tr>
      <w:tr w:rsidR="007844EC" w:rsidRPr="00641E9E" w14:paraId="71CDDF69" w14:textId="77777777" w:rsidTr="003C0402">
        <w:trPr>
          <w:trHeight w:val="1897"/>
        </w:trPr>
        <w:tc>
          <w:tcPr>
            <w:tcW w:w="2561" w:type="dxa"/>
          </w:tcPr>
          <w:p w14:paraId="0FFFC873" w14:textId="77777777" w:rsidR="007844EC" w:rsidRPr="003C0402" w:rsidRDefault="007844EC" w:rsidP="007844EC">
            <w:pPr>
              <w:rPr>
                <w:rFonts w:ascii="Open Sans" w:eastAsia="Times New Roman" w:hAnsi="Open Sans" w:cs="Open Sans"/>
                <w:color w:val="005689"/>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7844EC">
              <w:rPr>
                <w:rFonts w:ascii="Open Sans" w:eastAsia="Times New Roman" w:hAnsi="Open Sans" w:cs="Open San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Protection of the environment, biodiversity and</w:t>
            </w:r>
          </w:p>
          <w:p w14:paraId="6FF32D89" w14:textId="02C38FD8" w:rsidR="001C3354" w:rsidRPr="000611BE" w:rsidRDefault="007844EC" w:rsidP="000611BE">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restoration of natural habitats</w:t>
            </w:r>
          </w:p>
        </w:tc>
        <w:tc>
          <w:tcPr>
            <w:tcW w:w="6501" w:type="dxa"/>
          </w:tcPr>
          <w:p w14:paraId="19CAEAF1" w14:textId="5AF069EF" w:rsidR="007844EC" w:rsidRDefault="007844EC" w:rsidP="007844EC">
            <w:pPr>
              <w:jc w:val="both"/>
              <w:rPr>
                <w:rFonts w:ascii="Open Sans" w:hAnsi="Open Sans" w:cs="Open Sans"/>
                <w:sz w:val="18"/>
                <w:szCs w:val="18"/>
                <w:lang w:val="en-GB"/>
              </w:rPr>
            </w:pPr>
          </w:p>
          <w:p w14:paraId="541CE581" w14:textId="77777777" w:rsidR="000002CC" w:rsidRDefault="000002CC" w:rsidP="007844EC">
            <w:pPr>
              <w:jc w:val="both"/>
              <w:rPr>
                <w:rFonts w:ascii="Open Sans" w:hAnsi="Open Sans" w:cs="Open Sans"/>
                <w:sz w:val="18"/>
                <w:szCs w:val="18"/>
                <w:lang w:val="en-GB"/>
              </w:rPr>
            </w:pPr>
          </w:p>
          <w:p w14:paraId="5D667521" w14:textId="77777777" w:rsidR="00717F1F" w:rsidRDefault="007844EC" w:rsidP="00752107">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00717F1F">
              <w:rPr>
                <w:rFonts w:ascii="Open Sans" w:hAnsi="Open Sans" w:cs="Open Sans"/>
                <w:sz w:val="18"/>
                <w:szCs w:val="18"/>
                <w:lang w:val="en-GB"/>
              </w:rPr>
              <w:t xml:space="preserve"> </w:t>
            </w:r>
            <w:r w:rsidR="00717F1F" w:rsidRPr="00717F1F">
              <w:rPr>
                <w:rFonts w:ascii="Open Sans" w:hAnsi="Open Sans" w:cs="Open Sans"/>
                <w:sz w:val="18"/>
                <w:szCs w:val="18"/>
                <w:lang w:val="en-GB"/>
              </w:rPr>
              <w:t>Require/promote legal and sustainable agriculture, fishing or forestry, for example through appropriate eco-labels</w:t>
            </w:r>
          </w:p>
          <w:p w14:paraId="5F26E28B" w14:textId="0662C6CD" w:rsidR="007844EC" w:rsidRPr="00641E9E" w:rsidRDefault="007844EC"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00717F1F">
              <w:rPr>
                <w:rFonts w:ascii="Open Sans" w:hAnsi="Open Sans" w:cs="Open Sans"/>
                <w:sz w:val="18"/>
                <w:szCs w:val="18"/>
                <w:lang w:val="en-GB" w:eastAsia="zh-CN"/>
              </w:rPr>
              <w:t xml:space="preserve"> Other</w:t>
            </w:r>
          </w:p>
        </w:tc>
      </w:tr>
      <w:tr w:rsidR="007844EC" w:rsidRPr="00641E9E" w14:paraId="06A01F33" w14:textId="77777777" w:rsidTr="0006668E">
        <w:tc>
          <w:tcPr>
            <w:tcW w:w="2561" w:type="dxa"/>
          </w:tcPr>
          <w:p w14:paraId="7BDF8889" w14:textId="77777777" w:rsidR="00E27FD0" w:rsidRPr="00D714AE" w:rsidRDefault="00E27FD0" w:rsidP="007844EC">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Social:</w:t>
            </w:r>
            <w:r w:rsidRPr="00D714AE">
              <w:rPr>
                <w:rFonts w:ascii="Open Sans" w:eastAsia="Times New Roman" w:hAnsi="Open Sans" w:cs="Open Sans"/>
                <w:color w:val="002060"/>
                <w:sz w:val="24"/>
                <w:szCs w:val="24"/>
                <w:bdr w:val="none" w:sz="0" w:space="0" w:color="auto" w:frame="1"/>
                <w:lang w:val="en-GB"/>
              </w:rPr>
              <w:t xml:space="preserve"> </w:t>
            </w:r>
          </w:p>
          <w:p w14:paraId="027B22C5" w14:textId="11EE3E7A" w:rsidR="007844EC" w:rsidRPr="003C0402" w:rsidRDefault="00E27FD0" w:rsidP="007844EC">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Human rights and labour issues</w:t>
            </w:r>
          </w:p>
          <w:p w14:paraId="792F614F" w14:textId="77777777" w:rsidR="007844EC" w:rsidRDefault="007844EC" w:rsidP="007844EC">
            <w:pPr>
              <w:rPr>
                <w:rFonts w:ascii="Open Sans" w:eastAsia="Times New Roman" w:hAnsi="Open Sans" w:cs="Open Sans"/>
                <w:color w:val="002060"/>
                <w:sz w:val="24"/>
                <w:szCs w:val="24"/>
                <w:bdr w:val="none" w:sz="0" w:space="0" w:color="auto" w:frame="1"/>
                <w:lang w:val="en-GB"/>
              </w:rPr>
            </w:pPr>
          </w:p>
          <w:p w14:paraId="23F44938" w14:textId="77777777" w:rsidR="007844EC" w:rsidRDefault="007844EC" w:rsidP="007844EC">
            <w:pPr>
              <w:rPr>
                <w:rFonts w:ascii="Open Sans" w:eastAsia="Times New Roman" w:hAnsi="Open Sans" w:cs="Open Sans"/>
                <w:color w:val="002060"/>
                <w:sz w:val="24"/>
                <w:szCs w:val="24"/>
                <w:bdr w:val="none" w:sz="0" w:space="0" w:color="auto" w:frame="1"/>
                <w:lang w:val="en-GB"/>
              </w:rPr>
            </w:pPr>
          </w:p>
          <w:p w14:paraId="3E8BA396" w14:textId="29B51BB2" w:rsidR="007844EC" w:rsidRDefault="007844EC" w:rsidP="007844EC">
            <w:pPr>
              <w:rPr>
                <w:rFonts w:ascii="Open Sans" w:eastAsia="Times New Roman" w:hAnsi="Open Sans" w:cs="Open Sans"/>
                <w:color w:val="002060"/>
                <w:sz w:val="24"/>
                <w:szCs w:val="24"/>
                <w:bdr w:val="none" w:sz="0" w:space="0" w:color="auto" w:frame="1"/>
                <w:lang w:val="en-GB"/>
              </w:rPr>
            </w:pPr>
          </w:p>
        </w:tc>
        <w:tc>
          <w:tcPr>
            <w:tcW w:w="6501" w:type="dxa"/>
          </w:tcPr>
          <w:p w14:paraId="534F5CF7" w14:textId="700DFF89" w:rsidR="00E27FD0" w:rsidRDefault="003D07B3" w:rsidP="00752107">
            <w:pPr>
              <w:jc w:val="both"/>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1"/>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E27FD0" w:rsidRPr="00641E9E">
              <w:rPr>
                <w:rFonts w:ascii="Open Sans" w:hAnsi="Open Sans" w:cs="Open Sans"/>
                <w:sz w:val="18"/>
                <w:szCs w:val="18"/>
                <w:lang w:val="en-GB"/>
              </w:rPr>
              <w:t xml:space="preserve"> Requirement </w:t>
            </w:r>
            <w:r w:rsidR="00E27FD0" w:rsidRPr="00E27FD0">
              <w:rPr>
                <w:rFonts w:ascii="Open Sans" w:hAnsi="Open Sans" w:cs="Open Sans"/>
                <w:sz w:val="18"/>
                <w:szCs w:val="18"/>
                <w:lang w:val="en-GB"/>
              </w:rPr>
              <w:t>to adhere to the Universal Declaration of Human Rights and the fundamental principles and rights at work as referred to in ILO's core conventions (freedom of association and the effective recognition of the right to collective bargaining, the elimination of all forms of forced labour, the effective abolition of child labour and the elimination of discrimination in respect of employment and occupation)</w:t>
            </w:r>
            <w:r w:rsidR="00E27FD0">
              <w:rPr>
                <w:rFonts w:ascii="Open Sans" w:hAnsi="Open Sans" w:cs="Open Sans"/>
                <w:sz w:val="18"/>
                <w:szCs w:val="18"/>
                <w:lang w:val="en-GB"/>
              </w:rPr>
              <w:t>.</w:t>
            </w:r>
          </w:p>
          <w:p w14:paraId="4BC49A1F" w14:textId="645DE4AB" w:rsidR="00E27FD0" w:rsidRDefault="00E27FD0"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E27FD0">
              <w:rPr>
                <w:rFonts w:ascii="Open Sans" w:hAnsi="Open Sans" w:cs="Open Sans"/>
                <w:sz w:val="18"/>
                <w:szCs w:val="18"/>
                <w:lang w:val="en-GB" w:eastAsia="zh-CN"/>
              </w:rPr>
              <w:t>to abide by relevant industry's collective labour agreements</w:t>
            </w:r>
            <w:r>
              <w:rPr>
                <w:rFonts w:ascii="Open Sans" w:hAnsi="Open Sans" w:cs="Open Sans"/>
                <w:sz w:val="18"/>
                <w:szCs w:val="18"/>
                <w:lang w:val="en-GB" w:eastAsia="zh-CN"/>
              </w:rPr>
              <w:t>.</w:t>
            </w:r>
          </w:p>
          <w:p w14:paraId="4B905310" w14:textId="1078BBF1" w:rsidR="00E27FD0" w:rsidRPr="00641E9E" w:rsidRDefault="003D07B3" w:rsidP="0075210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eastAsia="zh-CN"/>
              </w:rPr>
              <w:fldChar w:fldCharType="begin">
                <w:ffData>
                  <w:name w:val=""/>
                  <w:enabled/>
                  <w:calcOnExit w:val="0"/>
                  <w:checkBox>
                    <w:size w:val="16"/>
                    <w:default w:val="0"/>
                  </w:checkBox>
                </w:ffData>
              </w:fldChar>
            </w:r>
            <w:r>
              <w:rPr>
                <w:rFonts w:ascii="Open Sans" w:hAnsi="Open Sans" w:cs="Open Sans"/>
                <w:sz w:val="18"/>
                <w:szCs w:val="18"/>
                <w:lang w:val="en-GB" w:eastAsia="zh-CN"/>
              </w:rPr>
              <w:instrText xml:space="preserve"> FORMCHECKBOX </w:instrText>
            </w:r>
            <w:r>
              <w:rPr>
                <w:rFonts w:ascii="Open Sans" w:hAnsi="Open Sans" w:cs="Open Sans"/>
                <w:sz w:val="18"/>
                <w:szCs w:val="18"/>
                <w:lang w:val="en-GB" w:eastAsia="zh-CN"/>
              </w:rPr>
            </w:r>
            <w:r>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E27FD0" w:rsidRPr="00641E9E">
              <w:rPr>
                <w:rFonts w:ascii="Open Sans" w:hAnsi="Open Sans" w:cs="Open Sans"/>
                <w:sz w:val="18"/>
                <w:szCs w:val="18"/>
                <w:lang w:val="en-GB" w:eastAsia="zh-CN"/>
              </w:rPr>
              <w:t xml:space="preserve"> Requirement</w:t>
            </w:r>
            <w:r w:rsidR="00E27FD0">
              <w:rPr>
                <w:rFonts w:ascii="Open Sans" w:hAnsi="Open Sans" w:cs="Open Sans"/>
                <w:sz w:val="18"/>
                <w:szCs w:val="18"/>
                <w:lang w:val="en-GB" w:eastAsia="zh-CN"/>
              </w:rPr>
              <w:t xml:space="preserve"> </w:t>
            </w:r>
            <w:r w:rsidR="00E27FD0" w:rsidRPr="00E27FD0">
              <w:rPr>
                <w:rFonts w:ascii="Open Sans" w:hAnsi="Open Sans" w:cs="Open Sans"/>
                <w:sz w:val="18"/>
                <w:szCs w:val="18"/>
                <w:lang w:val="en-GB" w:eastAsia="zh-CN"/>
              </w:rPr>
              <w:t>of a health and safety management system (</w:t>
            </w:r>
            <w:r w:rsidR="00752107" w:rsidRPr="00E27FD0">
              <w:rPr>
                <w:rFonts w:ascii="Open Sans" w:hAnsi="Open Sans" w:cs="Open Sans"/>
                <w:sz w:val="18"/>
                <w:szCs w:val="18"/>
                <w:lang w:val="en-GB" w:eastAsia="zh-CN"/>
              </w:rPr>
              <w:t>e.g.,</w:t>
            </w:r>
            <w:r w:rsidR="00E27FD0" w:rsidRPr="00E27FD0">
              <w:rPr>
                <w:rFonts w:ascii="Open Sans" w:hAnsi="Open Sans" w:cs="Open Sans"/>
                <w:sz w:val="18"/>
                <w:szCs w:val="18"/>
                <w:lang w:val="en-GB" w:eastAsia="zh-CN"/>
              </w:rPr>
              <w:t xml:space="preserve"> ISO 18001 or equivalent)</w:t>
            </w:r>
            <w:r w:rsidR="00E27FD0">
              <w:rPr>
                <w:rFonts w:ascii="Open Sans" w:hAnsi="Open Sans" w:cs="Open Sans"/>
                <w:sz w:val="18"/>
                <w:szCs w:val="18"/>
                <w:lang w:val="en-GB" w:eastAsia="zh-CN"/>
              </w:rPr>
              <w:t xml:space="preserve">. </w:t>
            </w:r>
            <w:r w:rsidR="00E27FD0" w:rsidRPr="00641E9E">
              <w:rPr>
                <w:rFonts w:ascii="Open Sans" w:hAnsi="Open Sans" w:cs="Open Sans"/>
                <w:sz w:val="18"/>
                <w:szCs w:val="18"/>
                <w:lang w:val="en-GB" w:eastAsia="zh-CN"/>
              </w:rPr>
              <w:t xml:space="preserve"> </w:t>
            </w:r>
          </w:p>
          <w:p w14:paraId="7ACF7B07" w14:textId="797B6329" w:rsidR="00E27FD0" w:rsidRPr="00641E9E" w:rsidRDefault="00E27FD0"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641E9E">
              <w:rPr>
                <w:rFonts w:ascii="Open Sans" w:hAnsi="Open Sans" w:cs="Open Sans"/>
                <w:sz w:val="18"/>
                <w:szCs w:val="18"/>
                <w:lang w:val="en-GB"/>
              </w:rPr>
              <w:t>Requirements for </w:t>
            </w:r>
            <w:r w:rsidRPr="00E27FD0">
              <w:rPr>
                <w:rFonts w:ascii="Open Sans" w:hAnsi="Open Sans" w:cs="Open Sans"/>
                <w:sz w:val="18"/>
                <w:szCs w:val="18"/>
                <w:lang w:val="en-GB"/>
              </w:rPr>
              <w:t>certifications that verify adherence to socially acceptable working conditions (</w:t>
            </w:r>
            <w:r w:rsidR="00752107" w:rsidRPr="00E27FD0">
              <w:rPr>
                <w:rFonts w:ascii="Open Sans" w:hAnsi="Open Sans" w:cs="Open Sans"/>
                <w:sz w:val="18"/>
                <w:szCs w:val="18"/>
                <w:lang w:val="en-GB"/>
              </w:rPr>
              <w:t>e.g.,</w:t>
            </w:r>
            <w:r w:rsidRPr="00E27FD0">
              <w:rPr>
                <w:rFonts w:ascii="Open Sans" w:hAnsi="Open Sans" w:cs="Open Sans"/>
                <w:sz w:val="18"/>
                <w:szCs w:val="18"/>
                <w:lang w:val="en-GB"/>
              </w:rPr>
              <w:t xml:space="preserve"> SA8000 certification or equivalent)</w:t>
            </w:r>
            <w:r>
              <w:rPr>
                <w:rFonts w:ascii="Open Sans" w:hAnsi="Open Sans" w:cs="Open Sans"/>
                <w:sz w:val="18"/>
                <w:szCs w:val="18"/>
                <w:lang w:val="en-GB"/>
              </w:rPr>
              <w:t>.</w:t>
            </w:r>
            <w:r w:rsidRPr="00641E9E">
              <w:rPr>
                <w:rFonts w:ascii="Open Sans" w:hAnsi="Open Sans" w:cs="Open Sans"/>
                <w:sz w:val="18"/>
                <w:szCs w:val="18"/>
                <w:lang w:val="en-GB"/>
              </w:rPr>
              <w:t>                                                                                        </w:t>
            </w:r>
          </w:p>
          <w:p w14:paraId="3529D906" w14:textId="2B1D91F8" w:rsidR="00E27FD0" w:rsidRDefault="00E27FD0"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val="0"/>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641E9E">
              <w:rPr>
                <w:rFonts w:ascii="Open Sans" w:hAnsi="Open Sans" w:cs="Open Sans"/>
                <w:sz w:val="18"/>
                <w:szCs w:val="18"/>
                <w:lang w:val="en-GB"/>
              </w:rPr>
              <w:t>Requirements for</w:t>
            </w:r>
            <w:r>
              <w:rPr>
                <w:rFonts w:ascii="Open Sans" w:hAnsi="Open Sans" w:cs="Open Sans"/>
                <w:sz w:val="18"/>
                <w:szCs w:val="18"/>
                <w:lang w:val="en-GB"/>
              </w:rPr>
              <w:t xml:space="preserve"> </w:t>
            </w:r>
            <w:r w:rsidRPr="00E27FD0">
              <w:rPr>
                <w:rFonts w:ascii="Open Sans" w:hAnsi="Open Sans" w:cs="Open Sans"/>
                <w:sz w:val="18"/>
                <w:szCs w:val="18"/>
                <w:lang w:val="en-GB"/>
              </w:rPr>
              <w:t>ethically or fairly traded goods (</w:t>
            </w:r>
            <w:r w:rsidR="00752107" w:rsidRPr="00E27FD0">
              <w:rPr>
                <w:rFonts w:ascii="Open Sans" w:hAnsi="Open Sans" w:cs="Open Sans"/>
                <w:sz w:val="18"/>
                <w:szCs w:val="18"/>
                <w:lang w:val="en-GB"/>
              </w:rPr>
              <w:t>e.g.,</w:t>
            </w:r>
            <w:r w:rsidRPr="00E27FD0">
              <w:rPr>
                <w:rFonts w:ascii="Open Sans" w:hAnsi="Open Sans" w:cs="Open Sans"/>
                <w:sz w:val="18"/>
                <w:szCs w:val="18"/>
                <w:lang w:val="en-GB"/>
              </w:rPr>
              <w:t xml:space="preserve"> Fairtrade certification or equivalent)</w:t>
            </w:r>
            <w:r>
              <w:rPr>
                <w:rFonts w:ascii="Open Sans" w:hAnsi="Open Sans" w:cs="Open Sans"/>
                <w:sz w:val="18"/>
                <w:szCs w:val="18"/>
                <w:lang w:val="en-GB"/>
              </w:rPr>
              <w:t>.</w:t>
            </w:r>
          </w:p>
          <w:p w14:paraId="0E0F93A7" w14:textId="5FEA8B09" w:rsidR="007844EC" w:rsidRPr="00641E9E" w:rsidRDefault="00AA5A85" w:rsidP="0075210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E27FD0" w:rsidRPr="00641E9E">
              <w:rPr>
                <w:rFonts w:ascii="Open Sans" w:hAnsi="Open Sans" w:cs="Open Sans"/>
                <w:sz w:val="18"/>
                <w:szCs w:val="18"/>
                <w:lang w:val="en-GB"/>
              </w:rPr>
              <w:t xml:space="preserve"> Other</w:t>
            </w:r>
          </w:p>
        </w:tc>
      </w:tr>
      <w:tr w:rsidR="007844EC" w:rsidRPr="00F03F51" w14:paraId="00CB66AB" w14:textId="77777777" w:rsidTr="0006668E">
        <w:tc>
          <w:tcPr>
            <w:tcW w:w="2561" w:type="dxa"/>
          </w:tcPr>
          <w:p w14:paraId="49DF16A1" w14:textId="77777777" w:rsidR="00AA5A85" w:rsidRPr="00D714AE" w:rsidRDefault="00AA5A85" w:rsidP="007844EC">
            <w:pPr>
              <w:rPr>
                <w:rFonts w:ascii="Open Sans" w:eastAsia="Times New Roman" w:hAnsi="Open Sans" w:cs="Open San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 xml:space="preserve">Social: </w:t>
            </w:r>
          </w:p>
          <w:p w14:paraId="552F4DF1" w14:textId="415A48D0" w:rsidR="007844EC" w:rsidRPr="003C0402" w:rsidRDefault="00AA5A85" w:rsidP="00752107">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Inclusion of persons with disabilities</w:t>
            </w:r>
          </w:p>
        </w:tc>
        <w:tc>
          <w:tcPr>
            <w:tcW w:w="6501" w:type="dxa"/>
          </w:tcPr>
          <w:p w14:paraId="363D4218" w14:textId="7BDEE6E7" w:rsidR="00AA5A85" w:rsidRDefault="00AA5A85"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AA5A85">
              <w:rPr>
                <w:rFonts w:ascii="Open Sans" w:hAnsi="Open Sans" w:cs="Open Sans"/>
                <w:sz w:val="18"/>
                <w:szCs w:val="18"/>
                <w:lang w:val="en-GB" w:eastAsia="zh-CN"/>
              </w:rPr>
              <w:t>The requirement has been reviewed and potentially adapted to ensure accessibility for persons with disabilities</w:t>
            </w:r>
            <w:r>
              <w:rPr>
                <w:rFonts w:ascii="Open Sans" w:hAnsi="Open Sans" w:cs="Open Sans"/>
                <w:sz w:val="18"/>
                <w:szCs w:val="18"/>
                <w:lang w:val="en-GB" w:eastAsia="zh-CN"/>
              </w:rPr>
              <w:t>.</w:t>
            </w:r>
          </w:p>
          <w:p w14:paraId="12CDEB5F" w14:textId="56197D1E" w:rsidR="00AA5A85" w:rsidRPr="00641E9E" w:rsidRDefault="00AA5A85"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w:t>
            </w:r>
            <w:r>
              <w:rPr>
                <w:rFonts w:ascii="Open Sans" w:hAnsi="Open Sans" w:cs="Open Sans"/>
                <w:sz w:val="18"/>
                <w:szCs w:val="18"/>
                <w:lang w:val="en-GB" w:eastAsia="zh-CN"/>
              </w:rPr>
              <w:t xml:space="preserve"> for </w:t>
            </w:r>
            <w:r w:rsidRPr="00AA5A85">
              <w:rPr>
                <w:rFonts w:ascii="Open Sans" w:hAnsi="Open Sans" w:cs="Open Sans"/>
                <w:sz w:val="18"/>
                <w:szCs w:val="18"/>
                <w:lang w:val="en-GB" w:eastAsia="zh-CN"/>
              </w:rPr>
              <w:t xml:space="preserve">vendors to be </w:t>
            </w:r>
            <w:r w:rsidR="00B9347A" w:rsidRPr="00AA5A85">
              <w:rPr>
                <w:rFonts w:ascii="Open Sans" w:hAnsi="Open Sans" w:cs="Open Sans"/>
                <w:sz w:val="18"/>
                <w:szCs w:val="18"/>
                <w:lang w:val="en-GB" w:eastAsia="zh-CN"/>
              </w:rPr>
              <w:t>disability</w:t>
            </w:r>
            <w:r w:rsidR="00B9347A">
              <w:rPr>
                <w:rFonts w:ascii="Open Sans" w:hAnsi="Open Sans" w:cs="Open Sans"/>
                <w:sz w:val="18"/>
                <w:szCs w:val="18"/>
                <w:lang w:val="en-GB" w:eastAsia="zh-CN"/>
              </w:rPr>
              <w:t>-inclusive</w:t>
            </w:r>
            <w:r>
              <w:rPr>
                <w:rFonts w:ascii="Open Sans" w:hAnsi="Open Sans" w:cs="Open Sans"/>
                <w:sz w:val="18"/>
                <w:szCs w:val="18"/>
                <w:lang w:val="en-GB" w:eastAsia="zh-CN"/>
              </w:rPr>
              <w:t>.</w:t>
            </w:r>
          </w:p>
        </w:tc>
      </w:tr>
      <w:tr w:rsidR="00717F1F" w:rsidRPr="00641E9E" w14:paraId="1FBBAB17" w14:textId="77777777" w:rsidTr="0006668E">
        <w:tc>
          <w:tcPr>
            <w:tcW w:w="2561" w:type="dxa"/>
          </w:tcPr>
          <w:p w14:paraId="4F0B590E" w14:textId="77777777" w:rsidR="00AA5A85" w:rsidRPr="00D714AE" w:rsidRDefault="00AA5A85" w:rsidP="007844EC">
            <w:pPr>
              <w:rPr>
                <w:rFonts w:ascii="Open Sans" w:eastAsia="Times New Roman" w:hAnsi="Open Sans" w:cs="Open San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 xml:space="preserve">Social: </w:t>
            </w:r>
          </w:p>
          <w:p w14:paraId="48F5B450" w14:textId="3C2ABFC2" w:rsidR="00717F1F" w:rsidRPr="003C0402" w:rsidRDefault="00AA5A85" w:rsidP="007844EC">
            <w:pPr>
              <w:rPr>
                <w:rFonts w:ascii="Open Sans" w:eastAsia="Times New Roman" w:hAnsi="Open Sans" w:cs="Open Sans"/>
                <w:color w:val="002060"/>
                <w:bdr w:val="none" w:sz="0" w:space="0" w:color="auto" w:frame="1"/>
                <w:lang w:val="en-GB"/>
              </w:rPr>
            </w:pPr>
            <w:r w:rsidRPr="003C0402">
              <w:rPr>
                <w:rFonts w:ascii="Open Sans" w:eastAsia="Times New Roman" w:hAnsi="Open Sans" w:cs="Open Sans"/>
                <w:color w:val="005689"/>
                <w:bdr w:val="none" w:sz="0" w:space="0" w:color="auto" w:frame="1"/>
                <w:lang w:val="en-GB"/>
              </w:rPr>
              <w:t>Gender issues</w:t>
            </w:r>
          </w:p>
        </w:tc>
        <w:tc>
          <w:tcPr>
            <w:tcW w:w="6501" w:type="dxa"/>
          </w:tcPr>
          <w:p w14:paraId="789EDCEB" w14:textId="37E7505C" w:rsidR="005C6552" w:rsidRDefault="00AA5A85" w:rsidP="001C3354">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Pr="00641E9E">
              <w:rPr>
                <w:rFonts w:ascii="Open Sans" w:hAnsi="Open Sans" w:cs="Open Sans"/>
                <w:sz w:val="18"/>
                <w:szCs w:val="18"/>
                <w:lang w:val="en-GB"/>
              </w:rPr>
            </w:r>
            <w:r w:rsidRPr="00641E9E">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AA5A85">
              <w:rPr>
                <w:rFonts w:ascii="Open Sans" w:hAnsi="Open Sans" w:cs="Open Sans"/>
                <w:sz w:val="18"/>
                <w:szCs w:val="18"/>
                <w:lang w:val="en-GB"/>
              </w:rPr>
              <w:t xml:space="preserve">Reserved procurement opportunities (lot, subcontract, or entire tender) open only to vendors qualifying as women-owned businesses, </w:t>
            </w:r>
            <w:r w:rsidR="00AE79EB" w:rsidRPr="00AA5A85">
              <w:rPr>
                <w:rFonts w:ascii="Open Sans" w:hAnsi="Open Sans" w:cs="Open Sans"/>
                <w:sz w:val="18"/>
                <w:szCs w:val="18"/>
                <w:lang w:val="en-GB"/>
              </w:rPr>
              <w:t>i.e.,</w:t>
            </w:r>
            <w:r w:rsidRPr="00AA5A85">
              <w:rPr>
                <w:rFonts w:ascii="Open Sans" w:hAnsi="Open Sans" w:cs="Open Sans"/>
                <w:sz w:val="18"/>
                <w:szCs w:val="18"/>
                <w:lang w:val="en-GB"/>
              </w:rPr>
              <w:t xml:space="preserve"> an entity at least 51% owned, managed and controlled by one or more women</w:t>
            </w:r>
            <w:r>
              <w:rPr>
                <w:rFonts w:ascii="Open Sans" w:hAnsi="Open Sans" w:cs="Open Sans"/>
                <w:sz w:val="18"/>
                <w:szCs w:val="18"/>
                <w:lang w:val="en-GB"/>
              </w:rPr>
              <w:t>.</w:t>
            </w:r>
          </w:p>
          <w:p w14:paraId="52A0EB84" w14:textId="01DA344D" w:rsidR="00AA5A85" w:rsidRDefault="007F4835" w:rsidP="004D364D">
            <w:pPr>
              <w:jc w:val="both"/>
              <w:rPr>
                <w:rFonts w:ascii="Open Sans" w:hAnsi="Open Sans" w:cs="Open Sans"/>
                <w:sz w:val="18"/>
                <w:szCs w:val="18"/>
                <w:lang w:val="en-GB"/>
              </w:rPr>
            </w:pPr>
            <w:r>
              <w:rPr>
                <w:rFonts w:ascii="Open Sans" w:hAnsi="Open Sans" w:cs="Open Sans"/>
                <w:sz w:val="18"/>
                <w:szCs w:val="18"/>
                <w:lang w:val="en-GB"/>
              </w:rPr>
              <w:lastRenderedPageBreak/>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AA5A85">
              <w:rPr>
                <w:rFonts w:ascii="Open Sans" w:hAnsi="Open Sans" w:cs="Open Sans"/>
                <w:sz w:val="18"/>
                <w:szCs w:val="18"/>
                <w:lang w:val="en-GB"/>
              </w:rPr>
              <w:t xml:space="preserve"> </w:t>
            </w:r>
            <w:r w:rsidR="00AA5A85" w:rsidRPr="00AA5A85">
              <w:rPr>
                <w:rFonts w:ascii="Open Sans" w:hAnsi="Open Sans" w:cs="Open Sans"/>
                <w:sz w:val="18"/>
                <w:szCs w:val="18"/>
                <w:lang w:val="en-GB"/>
              </w:rPr>
              <w:t xml:space="preserve">Reserved minimum portion of contracted labour opportunities for women, </w:t>
            </w:r>
            <w:r w:rsidR="00AE79EB" w:rsidRPr="00AA5A85">
              <w:rPr>
                <w:rFonts w:ascii="Open Sans" w:hAnsi="Open Sans" w:cs="Open Sans"/>
                <w:sz w:val="18"/>
                <w:szCs w:val="18"/>
                <w:lang w:val="en-GB"/>
              </w:rPr>
              <w:t>e.g.,</w:t>
            </w:r>
            <w:r w:rsidR="00AA5A85" w:rsidRPr="00AA5A85">
              <w:rPr>
                <w:rFonts w:ascii="Open Sans" w:hAnsi="Open Sans" w:cs="Open Sans"/>
                <w:sz w:val="18"/>
                <w:szCs w:val="18"/>
                <w:lang w:val="en-GB"/>
              </w:rPr>
              <w:t xml:space="preserve"> SSAs and individual contractors</w:t>
            </w:r>
            <w:r w:rsidR="00AA5A85">
              <w:rPr>
                <w:rFonts w:ascii="Open Sans" w:hAnsi="Open Sans" w:cs="Open Sans"/>
                <w:sz w:val="18"/>
                <w:szCs w:val="18"/>
                <w:lang w:val="en-GB"/>
              </w:rPr>
              <w:t>.</w:t>
            </w:r>
          </w:p>
          <w:p w14:paraId="6465EF65" w14:textId="499D4735" w:rsidR="00AA5A85" w:rsidRDefault="00AA5A85"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A5A85">
              <w:rPr>
                <w:rFonts w:ascii="Open Sans" w:hAnsi="Open Sans" w:cs="Open Sans"/>
                <w:sz w:val="18"/>
                <w:szCs w:val="18"/>
                <w:lang w:val="en-GB" w:eastAsia="zh-CN"/>
              </w:rPr>
              <w:t>Apply price/margin preference or mechanism to award points to gender-responsive vendors during evaluation</w:t>
            </w:r>
            <w:r>
              <w:rPr>
                <w:rFonts w:ascii="Open Sans" w:hAnsi="Open Sans" w:cs="Open Sans"/>
                <w:sz w:val="18"/>
                <w:szCs w:val="18"/>
                <w:lang w:val="en-GB" w:eastAsia="zh-CN"/>
              </w:rPr>
              <w:t>.</w:t>
            </w:r>
          </w:p>
          <w:p w14:paraId="7C7EA949" w14:textId="3E58AFD2" w:rsidR="00AA5A85" w:rsidRPr="00641E9E" w:rsidRDefault="00AA5A85"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A5A85">
              <w:rPr>
                <w:rFonts w:ascii="Open Sans" w:hAnsi="Open Sans" w:cs="Open Sans"/>
                <w:sz w:val="18"/>
                <w:szCs w:val="18"/>
                <w:lang w:val="en-GB" w:eastAsia="zh-CN"/>
              </w:rPr>
              <w:t>Requirement of bidders to demonstrate commitment to integrate gender mainstreaming in the project's approach and personnel structure</w:t>
            </w:r>
            <w:r>
              <w:rPr>
                <w:rFonts w:ascii="Open Sans" w:hAnsi="Open Sans" w:cs="Open Sans"/>
                <w:sz w:val="18"/>
                <w:szCs w:val="18"/>
                <w:lang w:val="en-GB" w:eastAsia="zh-CN"/>
              </w:rPr>
              <w:t>.</w:t>
            </w:r>
            <w:r w:rsidRPr="00AA5A85">
              <w:rPr>
                <w:rFonts w:ascii="Open Sans" w:hAnsi="Open Sans" w:cs="Open Sans"/>
                <w:sz w:val="18"/>
                <w:szCs w:val="18"/>
                <w:lang w:val="en-GB" w:eastAsia="zh-CN"/>
              </w:rPr>
              <w:t xml:space="preserve"> </w:t>
            </w:r>
          </w:p>
          <w:p w14:paraId="0F686EBB" w14:textId="77777777" w:rsidR="00AA5A85" w:rsidRDefault="007F4835" w:rsidP="004D364D">
            <w:pPr>
              <w:jc w:val="both"/>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AA5A85" w:rsidRPr="00641E9E">
              <w:rPr>
                <w:rFonts w:ascii="Open Sans" w:hAnsi="Open Sans" w:cs="Open Sans"/>
                <w:sz w:val="18"/>
                <w:szCs w:val="18"/>
                <w:lang w:val="en-GB"/>
              </w:rPr>
              <w:t xml:space="preserve"> </w:t>
            </w:r>
            <w:r w:rsidR="00AA5A85" w:rsidRPr="00641E9E">
              <w:rPr>
                <w:rFonts w:ascii="Open Sans" w:eastAsia="Times New Roman" w:hAnsi="Open Sans" w:cs="Open Sans"/>
                <w:sz w:val="18"/>
                <w:szCs w:val="18"/>
                <w:lang w:val="en-GB"/>
              </w:rPr>
              <w:t>Other</w:t>
            </w:r>
          </w:p>
          <w:p w14:paraId="151347F1" w14:textId="67E9CCF3" w:rsidR="000611BE" w:rsidRPr="004D364D" w:rsidRDefault="000611BE" w:rsidP="004D364D">
            <w:pPr>
              <w:jc w:val="both"/>
              <w:rPr>
                <w:rFonts w:ascii="Open Sans" w:eastAsia="Times New Roman" w:hAnsi="Open Sans" w:cs="Open Sans"/>
                <w:sz w:val="18"/>
                <w:szCs w:val="18"/>
                <w:lang w:val="en-GB"/>
              </w:rPr>
            </w:pPr>
          </w:p>
        </w:tc>
      </w:tr>
      <w:tr w:rsidR="00717F1F" w:rsidRPr="00641E9E" w14:paraId="0D39E777" w14:textId="77777777" w:rsidTr="0006668E">
        <w:tc>
          <w:tcPr>
            <w:tcW w:w="2561" w:type="dxa"/>
          </w:tcPr>
          <w:p w14:paraId="1FCCF9C6" w14:textId="77777777" w:rsidR="00AE79EB" w:rsidRPr="00D714AE" w:rsidRDefault="00AE79EB" w:rsidP="00AE79EB">
            <w:pPr>
              <w:rPr>
                <w:rFonts w:ascii="Open Sans" w:eastAsia="Times New Roman" w:hAnsi="Open Sans" w:cs="Open San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lastRenderedPageBreak/>
              <w:t xml:space="preserve">Social: </w:t>
            </w:r>
          </w:p>
          <w:p w14:paraId="4E36278E" w14:textId="77777777" w:rsidR="00717F1F" w:rsidRPr="003C0402" w:rsidRDefault="00AE79EB" w:rsidP="00AE79EB">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Social health and well-being</w:t>
            </w:r>
          </w:p>
          <w:p w14:paraId="0B6CB8A5" w14:textId="22450DFB" w:rsidR="00AE79EB" w:rsidRDefault="00AE79EB" w:rsidP="00AE79EB">
            <w:pPr>
              <w:rPr>
                <w:rFonts w:ascii="Open Sans" w:eastAsia="Times New Roman" w:hAnsi="Open Sans" w:cs="Open Sans"/>
                <w:color w:val="002060"/>
                <w:sz w:val="24"/>
                <w:szCs w:val="24"/>
                <w:bdr w:val="none" w:sz="0" w:space="0" w:color="auto" w:frame="1"/>
                <w:lang w:val="en-GB"/>
              </w:rPr>
            </w:pPr>
          </w:p>
        </w:tc>
        <w:tc>
          <w:tcPr>
            <w:tcW w:w="6501" w:type="dxa"/>
          </w:tcPr>
          <w:p w14:paraId="45464861" w14:textId="33274F37" w:rsidR="00AE79EB" w:rsidRDefault="00AE79EB" w:rsidP="00AE79EB">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Avoidance of chemicals potentially hazardous to users of the product, like volatile organic compounds (VOCs) etc.</w:t>
            </w:r>
          </w:p>
          <w:p w14:paraId="45BB4A22" w14:textId="2AE4C7DF" w:rsidR="00AE79EB" w:rsidRPr="00641E9E" w:rsidRDefault="00AE79EB" w:rsidP="00AE79EB">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Require labelling of included/</w:t>
            </w:r>
            <w:r w:rsidR="007F4835">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used hazardous chemicals</w:t>
            </w:r>
            <w:r>
              <w:rPr>
                <w:rFonts w:ascii="Open Sans" w:hAnsi="Open Sans" w:cs="Open Sans"/>
                <w:sz w:val="18"/>
                <w:szCs w:val="18"/>
                <w:lang w:val="en-GB" w:eastAsia="zh-CN"/>
              </w:rPr>
              <w:t>.</w:t>
            </w:r>
            <w:r w:rsidRPr="00AA5A85">
              <w:rPr>
                <w:rFonts w:ascii="Open Sans" w:hAnsi="Open Sans" w:cs="Open Sans"/>
                <w:sz w:val="18"/>
                <w:szCs w:val="18"/>
                <w:lang w:val="en-GB" w:eastAsia="zh-CN"/>
              </w:rPr>
              <w:t xml:space="preserve"> </w:t>
            </w:r>
          </w:p>
          <w:p w14:paraId="64F45A52" w14:textId="5229A3BA" w:rsidR="004D364D" w:rsidRPr="004D364D" w:rsidRDefault="00AE79EB" w:rsidP="000611BE">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7F4835" w:rsidRPr="00641E9E" w14:paraId="36D0DE3A" w14:textId="77777777" w:rsidTr="0006668E">
        <w:tc>
          <w:tcPr>
            <w:tcW w:w="2561" w:type="dxa"/>
          </w:tcPr>
          <w:p w14:paraId="78CB7E8C" w14:textId="77777777" w:rsidR="007F4835" w:rsidRPr="00D714AE" w:rsidRDefault="007F4835" w:rsidP="007F4835">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Economic:</w:t>
            </w:r>
            <w:r w:rsidRPr="00D714AE">
              <w:rPr>
                <w:rFonts w:ascii="Open Sans" w:eastAsia="Times New Roman" w:hAnsi="Open Sans" w:cs="Open Sans"/>
                <w:color w:val="002060"/>
                <w:sz w:val="24"/>
                <w:szCs w:val="24"/>
                <w:bdr w:val="none" w:sz="0" w:space="0" w:color="auto" w:frame="1"/>
                <w:lang w:val="en-GB"/>
              </w:rPr>
              <w:t xml:space="preserve"> </w:t>
            </w:r>
          </w:p>
          <w:p w14:paraId="0E5E4081" w14:textId="77777777" w:rsidR="007F4835" w:rsidRPr="003C0402" w:rsidRDefault="007F4835" w:rsidP="00AE79EB">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Whole life cycle cost</w:t>
            </w:r>
          </w:p>
          <w:p w14:paraId="5A827B78" w14:textId="26866F08" w:rsidR="007F4835" w:rsidRPr="00AE79EB" w:rsidRDefault="007F4835" w:rsidP="00AE79EB">
            <w:pPr>
              <w:rPr>
                <w:rFonts w:ascii="Open Sans" w:eastAsia="Times New Roman" w:hAnsi="Open Sans" w:cs="Open Sans"/>
                <w:color w:val="002060"/>
                <w:sz w:val="24"/>
                <w:szCs w:val="24"/>
                <w:u w:val="single"/>
                <w:bdr w:val="none" w:sz="0" w:space="0" w:color="auto" w:frame="1"/>
                <w:lang w:val="en-GB"/>
              </w:rPr>
            </w:pPr>
          </w:p>
        </w:tc>
        <w:tc>
          <w:tcPr>
            <w:tcW w:w="6501" w:type="dxa"/>
          </w:tcPr>
          <w:p w14:paraId="761FDC83" w14:textId="79D7BD99"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Utilizes a life-cycle costing/</w:t>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total cost of ownership methodology in the financial evaluation</w:t>
            </w:r>
            <w:r>
              <w:rPr>
                <w:rFonts w:ascii="Open Sans" w:hAnsi="Open Sans" w:cs="Open Sans"/>
                <w:sz w:val="18"/>
                <w:szCs w:val="18"/>
                <w:lang w:val="en-GB" w:eastAsia="zh-CN"/>
              </w:rPr>
              <w:t>.</w:t>
            </w:r>
          </w:p>
          <w:p w14:paraId="5AC79CA2" w14:textId="15558A98" w:rsidR="007F4835" w:rsidRPr="007F4835" w:rsidRDefault="007F4835" w:rsidP="004D364D">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717F1F" w:rsidRPr="00641E9E" w14:paraId="7A03D6F2" w14:textId="77777777" w:rsidTr="0006668E">
        <w:tc>
          <w:tcPr>
            <w:tcW w:w="2561" w:type="dxa"/>
          </w:tcPr>
          <w:p w14:paraId="6E670F4C" w14:textId="77777777" w:rsidR="00AE79EB" w:rsidRPr="00D714AE" w:rsidRDefault="00AE79EB" w:rsidP="007844EC">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Economic:</w:t>
            </w:r>
            <w:r w:rsidRPr="00D714AE">
              <w:rPr>
                <w:rFonts w:ascii="Open Sans" w:eastAsia="Times New Roman" w:hAnsi="Open Sans" w:cs="Open Sans"/>
                <w:color w:val="002060"/>
                <w:sz w:val="24"/>
                <w:szCs w:val="24"/>
                <w:bdr w:val="none" w:sz="0" w:space="0" w:color="auto" w:frame="1"/>
                <w:lang w:val="en-GB"/>
              </w:rPr>
              <w:t xml:space="preserve"> </w:t>
            </w:r>
          </w:p>
          <w:p w14:paraId="0367ECF9" w14:textId="77777777" w:rsidR="00717F1F" w:rsidRPr="003C0402" w:rsidRDefault="00AE79EB" w:rsidP="007844EC">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Local communities, MSMEs, and supplier diversity</w:t>
            </w:r>
          </w:p>
          <w:p w14:paraId="650C20AF" w14:textId="77777777" w:rsidR="00AE79EB" w:rsidRDefault="00AE79EB" w:rsidP="007844EC">
            <w:pPr>
              <w:rPr>
                <w:rFonts w:ascii="Open Sans" w:eastAsia="Times New Roman" w:hAnsi="Open Sans" w:cs="Open Sans"/>
                <w:color w:val="005689"/>
                <w:sz w:val="24"/>
                <w:szCs w:val="24"/>
                <w:bdr w:val="none" w:sz="0" w:space="0" w:color="auto" w:frame="1"/>
                <w:lang w:val="en-GB"/>
              </w:rPr>
            </w:pPr>
          </w:p>
          <w:p w14:paraId="77D9C000" w14:textId="44FAD00B" w:rsidR="00AE79EB" w:rsidRDefault="00AE79EB" w:rsidP="007844EC">
            <w:pPr>
              <w:rPr>
                <w:rFonts w:ascii="Open Sans" w:eastAsia="Times New Roman" w:hAnsi="Open Sans" w:cs="Open Sans"/>
                <w:color w:val="002060"/>
                <w:sz w:val="24"/>
                <w:szCs w:val="24"/>
                <w:bdr w:val="none" w:sz="0" w:space="0" w:color="auto" w:frame="1"/>
                <w:lang w:val="en-GB"/>
              </w:rPr>
            </w:pPr>
          </w:p>
        </w:tc>
        <w:tc>
          <w:tcPr>
            <w:tcW w:w="6501" w:type="dxa"/>
          </w:tcPr>
          <w:p w14:paraId="432442B6" w14:textId="106BAFC9" w:rsidR="007F4835" w:rsidRDefault="003D07B3" w:rsidP="007F4835">
            <w:pPr>
              <w:pStyle w:val="BodyText21"/>
              <w:widowControl/>
              <w:spacing w:before="120" w:after="120"/>
              <w:rPr>
                <w:rFonts w:ascii="Open Sans" w:hAnsi="Open Sans" w:cs="Open Sans"/>
                <w:sz w:val="18"/>
                <w:szCs w:val="18"/>
                <w:lang w:val="en-GB" w:eastAsia="zh-CN"/>
              </w:rPr>
            </w:pPr>
            <w:r>
              <w:rPr>
                <w:rFonts w:ascii="Open Sans" w:hAnsi="Open Sans" w:cs="Open Sans"/>
                <w:sz w:val="18"/>
                <w:szCs w:val="18"/>
                <w:lang w:val="en-GB" w:eastAsia="zh-CN"/>
              </w:rPr>
              <w:fldChar w:fldCharType="begin">
                <w:ffData>
                  <w:name w:val=""/>
                  <w:enabled/>
                  <w:calcOnExit w:val="0"/>
                  <w:checkBox>
                    <w:size w:val="16"/>
                    <w:default w:val="1"/>
                  </w:checkBox>
                </w:ffData>
              </w:fldChar>
            </w:r>
            <w:r>
              <w:rPr>
                <w:rFonts w:ascii="Open Sans" w:hAnsi="Open Sans" w:cs="Open Sans"/>
                <w:sz w:val="18"/>
                <w:szCs w:val="18"/>
                <w:lang w:val="en-GB" w:eastAsia="zh-CN"/>
              </w:rPr>
              <w:instrText xml:space="preserve"> FORMCHECKBOX </w:instrText>
            </w:r>
            <w:r>
              <w:rPr>
                <w:rFonts w:ascii="Open Sans" w:hAnsi="Open Sans" w:cs="Open Sans"/>
                <w:sz w:val="18"/>
                <w:szCs w:val="18"/>
                <w:lang w:val="en-GB" w:eastAsia="zh-CN"/>
              </w:rPr>
            </w:r>
            <w:r>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7F4835">
              <w:rPr>
                <w:rFonts w:ascii="Open Sans" w:hAnsi="Open Sans" w:cs="Open Sans"/>
                <w:sz w:val="18"/>
                <w:szCs w:val="18"/>
                <w:lang w:val="en-GB" w:eastAsia="zh-CN"/>
              </w:rPr>
              <w:t xml:space="preserve"> </w:t>
            </w:r>
            <w:r w:rsidR="007F4835" w:rsidRPr="007F4835">
              <w:rPr>
                <w:rFonts w:ascii="Open Sans" w:hAnsi="Open Sans" w:cs="Open Sans"/>
                <w:sz w:val="18"/>
                <w:szCs w:val="18"/>
                <w:lang w:val="en-GB" w:eastAsia="zh-CN"/>
              </w:rPr>
              <w:t>Reserved minimum portion of contracted labour opportunities for local communities</w:t>
            </w:r>
            <w:r w:rsidR="007F4835">
              <w:rPr>
                <w:rFonts w:ascii="Open Sans" w:hAnsi="Open Sans" w:cs="Open Sans"/>
                <w:sz w:val="18"/>
                <w:szCs w:val="18"/>
                <w:lang w:val="en-GB" w:eastAsia="zh-CN"/>
              </w:rPr>
              <w:t>.</w:t>
            </w:r>
          </w:p>
          <w:p w14:paraId="5CF7E35F" w14:textId="5232AD99"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Requir</w:t>
            </w:r>
            <w:r>
              <w:rPr>
                <w:rFonts w:ascii="Open Sans" w:hAnsi="Open Sans" w:cs="Open Sans"/>
                <w:sz w:val="18"/>
                <w:szCs w:val="18"/>
                <w:lang w:val="en-GB" w:eastAsia="zh-CN"/>
              </w:rPr>
              <w:t xml:space="preserve">e </w:t>
            </w:r>
            <w:r w:rsidRPr="007F4835">
              <w:rPr>
                <w:rFonts w:ascii="Open Sans" w:hAnsi="Open Sans" w:cs="Open Sans"/>
                <w:sz w:val="18"/>
                <w:szCs w:val="18"/>
                <w:lang w:val="en-GB" w:eastAsia="zh-CN"/>
              </w:rPr>
              <w:t>suppliers to source the main elements for the product or service locally</w:t>
            </w:r>
            <w:r>
              <w:rPr>
                <w:rFonts w:ascii="Open Sans" w:hAnsi="Open Sans" w:cs="Open Sans"/>
                <w:sz w:val="18"/>
                <w:szCs w:val="18"/>
                <w:lang w:val="en-GB" w:eastAsia="zh-CN"/>
              </w:rPr>
              <w:t>.</w:t>
            </w:r>
          </w:p>
          <w:p w14:paraId="4D6E1DCD" w14:textId="79373D49"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Reserved</w:t>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procurement opportunity (lot, subcontract, or entire tender) open only to vendors qualifying as a local Micro, Small or Medium Enterprise</w:t>
            </w:r>
          </w:p>
          <w:p w14:paraId="7D3AA237" w14:textId="34D69687"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Reserved procurement opportunity (lot, subcontract, or entire tender) open only to vendors qualifying as vendors employing workers from disadvantaged groups (ethnic minorities, disabled etc.)</w:t>
            </w:r>
            <w:r>
              <w:rPr>
                <w:rFonts w:ascii="Open Sans" w:hAnsi="Open Sans" w:cs="Open Sans"/>
                <w:sz w:val="18"/>
                <w:szCs w:val="18"/>
                <w:lang w:val="en-GB" w:eastAsia="zh-CN"/>
              </w:rPr>
              <w:t>.</w:t>
            </w:r>
          </w:p>
          <w:p w14:paraId="49C2D31C" w14:textId="77777777" w:rsidR="007F4835" w:rsidRDefault="007F4835" w:rsidP="004D364D">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p w14:paraId="77A7C37F" w14:textId="346CB75A" w:rsidR="000611BE" w:rsidRPr="004D364D" w:rsidRDefault="000611BE" w:rsidP="004D364D">
            <w:pPr>
              <w:rPr>
                <w:rFonts w:ascii="Open Sans" w:eastAsia="Times New Roman" w:hAnsi="Open Sans" w:cs="Open Sans"/>
                <w:sz w:val="18"/>
                <w:szCs w:val="18"/>
                <w:lang w:val="en-GB"/>
              </w:rPr>
            </w:pPr>
          </w:p>
        </w:tc>
      </w:tr>
      <w:tr w:rsidR="00717F1F" w:rsidRPr="00641E9E" w14:paraId="6E6EADD1" w14:textId="77777777" w:rsidTr="0006668E">
        <w:tc>
          <w:tcPr>
            <w:tcW w:w="2561" w:type="dxa"/>
          </w:tcPr>
          <w:p w14:paraId="22CE342E" w14:textId="77777777" w:rsidR="003C0402" w:rsidRPr="00D714AE" w:rsidRDefault="00AE79EB" w:rsidP="0006668E">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Economic:</w:t>
            </w:r>
            <w:r w:rsidRPr="00D714AE">
              <w:rPr>
                <w:rFonts w:ascii="Open Sans" w:eastAsia="Times New Roman" w:hAnsi="Open Sans" w:cs="Open Sans"/>
                <w:color w:val="002060"/>
                <w:sz w:val="24"/>
                <w:szCs w:val="24"/>
                <w:bdr w:val="none" w:sz="0" w:space="0" w:color="auto" w:frame="1"/>
                <w:lang w:val="en-GB"/>
              </w:rPr>
              <w:t xml:space="preserve"> </w:t>
            </w:r>
          </w:p>
          <w:p w14:paraId="3F00AB99" w14:textId="37D5DEB9" w:rsidR="0006668E" w:rsidRPr="003C0402" w:rsidRDefault="0006668E" w:rsidP="0006668E">
            <w:pPr>
              <w:rPr>
                <w:rFonts w:ascii="Open Sans" w:eastAsia="Times New Roman" w:hAnsi="Open Sans" w:cs="Open Sans"/>
                <w:color w:val="002060"/>
                <w:bdr w:val="none" w:sz="0" w:space="0" w:color="auto" w:frame="1"/>
                <w:lang w:val="en-GB"/>
              </w:rPr>
            </w:pPr>
            <w:r w:rsidRPr="003C0402">
              <w:rPr>
                <w:rFonts w:ascii="Open Sans" w:eastAsia="Times New Roman" w:hAnsi="Open Sans" w:cs="Open Sans"/>
                <w:color w:val="005689"/>
                <w:bdr w:val="none" w:sz="0" w:space="0" w:color="auto" w:frame="1"/>
                <w:lang w:val="en-GB"/>
              </w:rPr>
              <w:t>Promoting sustainability throughout the supply chain</w:t>
            </w:r>
          </w:p>
          <w:p w14:paraId="6457C35A" w14:textId="0E0BE2F8" w:rsidR="007F4835" w:rsidRPr="007F4835" w:rsidRDefault="007F4835" w:rsidP="0006668E">
            <w:pPr>
              <w:rPr>
                <w:rFonts w:ascii="Open Sans" w:eastAsia="Times New Roman" w:hAnsi="Open Sans" w:cs="Open Sans"/>
                <w:color w:val="005689"/>
                <w:sz w:val="24"/>
                <w:szCs w:val="24"/>
                <w:bdr w:val="none" w:sz="0" w:space="0" w:color="auto" w:frame="1"/>
                <w:lang w:val="en-GB"/>
              </w:rPr>
            </w:pPr>
          </w:p>
        </w:tc>
        <w:tc>
          <w:tcPr>
            <w:tcW w:w="6501" w:type="dxa"/>
          </w:tcPr>
          <w:p w14:paraId="33D38D5A" w14:textId="55E28CC3"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Require the prime contractor to extend all sustainability requirements of the contract to its tier 2 suppliers and to report on the status</w:t>
            </w:r>
            <w:r>
              <w:rPr>
                <w:rFonts w:ascii="Open Sans" w:hAnsi="Open Sans" w:cs="Open Sans"/>
                <w:sz w:val="18"/>
                <w:szCs w:val="18"/>
                <w:lang w:val="en-GB" w:eastAsia="zh-CN"/>
              </w:rPr>
              <w:t>.</w:t>
            </w:r>
          </w:p>
          <w:p w14:paraId="5E2C98EB" w14:textId="6FF36A2D"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06668E">
              <w:rPr>
                <w:rFonts w:ascii="Open Sans" w:hAnsi="Open Sans" w:cs="Open Sans"/>
                <w:sz w:val="18"/>
                <w:szCs w:val="18"/>
                <w:lang w:val="en-GB" w:eastAsia="zh-CN"/>
              </w:rPr>
              <w:t>Primary contractor's subcontractors need to be identified pre-engagement and their employment is subject to the UN agency's approval based on sustainability considerations</w:t>
            </w:r>
            <w:r>
              <w:rPr>
                <w:rFonts w:ascii="Open Sans" w:hAnsi="Open Sans" w:cs="Open Sans"/>
                <w:sz w:val="18"/>
                <w:szCs w:val="18"/>
                <w:lang w:val="en-GB" w:eastAsia="zh-CN"/>
              </w:rPr>
              <w:t>.</w:t>
            </w:r>
          </w:p>
          <w:p w14:paraId="15EE34DD" w14:textId="1846496F" w:rsidR="0006668E" w:rsidRPr="004D364D" w:rsidRDefault="0006668E" w:rsidP="004D364D">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06668E" w:rsidRPr="00641E9E" w14:paraId="7A87BA72" w14:textId="77777777" w:rsidTr="00D17B25">
        <w:tc>
          <w:tcPr>
            <w:tcW w:w="2561" w:type="dxa"/>
          </w:tcPr>
          <w:p w14:paraId="171FAEE4" w14:textId="248C72F0" w:rsidR="0006668E" w:rsidRPr="00A039F2" w:rsidRDefault="0006668E" w:rsidP="00AE79EB">
            <w:pPr>
              <w:rPr>
                <w:rFonts w:ascii="Open Sans" w:eastAsia="Times New Roman" w:hAnsi="Open Sans" w:cs="Open Sans"/>
                <w:b/>
                <w:bC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Generic</w:t>
            </w:r>
            <w:r w:rsidR="00752107" w:rsidRPr="00D714AE">
              <w:rPr>
                <w:rFonts w:ascii="Open Sans" w:eastAsia="Times New Roman" w:hAnsi="Open Sans" w:cs="Open Sans"/>
                <w:color w:val="002060"/>
                <w:sz w:val="24"/>
                <w:szCs w:val="24"/>
                <w:u w:val="single"/>
                <w:bdr w:val="none" w:sz="0" w:space="0" w:color="auto" w:frame="1"/>
                <w:lang w:val="en-GB"/>
              </w:rPr>
              <w:t xml:space="preserve"> </w:t>
            </w:r>
            <w:r w:rsidR="00752107" w:rsidRPr="00A039F2">
              <w:rPr>
                <w:rFonts w:ascii="Open Sans" w:eastAsia="Times New Roman" w:hAnsi="Open Sans" w:cs="Open Sans"/>
                <w:color w:val="002060"/>
                <w:sz w:val="24"/>
                <w:szCs w:val="24"/>
                <w:u w:val="single"/>
                <w:bdr w:val="none" w:sz="0" w:space="0" w:color="auto" w:frame="1"/>
                <w:lang w:val="en-GB"/>
              </w:rPr>
              <w:t>additional indicators</w:t>
            </w:r>
            <w:r w:rsidRPr="00A039F2">
              <w:rPr>
                <w:rFonts w:ascii="Open Sans" w:eastAsia="Times New Roman" w:hAnsi="Open Sans" w:cs="Open Sans"/>
                <w:color w:val="002060"/>
                <w:sz w:val="24"/>
                <w:szCs w:val="24"/>
                <w:u w:val="single"/>
                <w:bdr w:val="none" w:sz="0" w:space="0" w:color="auto" w:frame="1"/>
                <w:lang w:val="en-GB"/>
              </w:rPr>
              <w:t>:</w:t>
            </w:r>
            <w:r w:rsidRPr="00A039F2">
              <w:rPr>
                <w:rFonts w:ascii="Open Sans" w:eastAsia="Times New Roman" w:hAnsi="Open Sans" w:cs="Open Sans"/>
                <w:b/>
                <w:bCs/>
                <w:color w:val="002060"/>
                <w:sz w:val="24"/>
                <w:szCs w:val="24"/>
                <w:u w:val="single"/>
                <w:bdr w:val="none" w:sz="0" w:space="0" w:color="auto" w:frame="1"/>
                <w:lang w:val="en-GB"/>
              </w:rPr>
              <w:t xml:space="preserve"> </w:t>
            </w:r>
          </w:p>
          <w:p w14:paraId="1276EAEB" w14:textId="3B221916" w:rsidR="0006668E" w:rsidRPr="003C0402" w:rsidRDefault="0006668E" w:rsidP="00752107">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Promotion of vendors' participation in the UN Global Compact</w:t>
            </w:r>
          </w:p>
        </w:tc>
        <w:tc>
          <w:tcPr>
            <w:tcW w:w="6501" w:type="dxa"/>
          </w:tcPr>
          <w:p w14:paraId="52FA2C56" w14:textId="39321761"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Require</w:t>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vendors to disclose their UN Global Compact participation</w:t>
            </w:r>
          </w:p>
          <w:p w14:paraId="7DE01A8D" w14:textId="77777777"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Pr="00641E9E">
              <w:rPr>
                <w:rFonts w:ascii="Open Sans" w:hAnsi="Open Sans" w:cs="Open Sans"/>
                <w:sz w:val="18"/>
                <w:szCs w:val="18"/>
                <w:lang w:val="en-GB" w:eastAsia="zh-CN"/>
              </w:rPr>
            </w:r>
            <w:r w:rsidRPr="00641E9E">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Require vendors to register to UN Global Compact during the course of the contract's duration</w:t>
            </w:r>
            <w:r>
              <w:rPr>
                <w:rFonts w:ascii="Open Sans" w:hAnsi="Open Sans" w:cs="Open Sans"/>
                <w:sz w:val="18"/>
                <w:szCs w:val="18"/>
                <w:lang w:val="en-GB" w:eastAsia="zh-CN"/>
              </w:rPr>
              <w:t>.</w:t>
            </w:r>
          </w:p>
          <w:p w14:paraId="7628E0B7" w14:textId="77777777" w:rsidR="0006668E" w:rsidRDefault="0006668E" w:rsidP="0006668E">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p w14:paraId="771EFAC8" w14:textId="77777777" w:rsidR="0006668E" w:rsidRPr="00641E9E" w:rsidRDefault="0006668E" w:rsidP="007844EC">
            <w:pPr>
              <w:rPr>
                <w:rFonts w:ascii="Open Sans" w:hAnsi="Open Sans" w:cs="Open Sans"/>
                <w:sz w:val="18"/>
                <w:szCs w:val="18"/>
                <w:lang w:val="en-GB"/>
              </w:rPr>
            </w:pPr>
          </w:p>
        </w:tc>
      </w:tr>
      <w:tr w:rsidR="0006668E" w:rsidRPr="00F03F51" w14:paraId="5765665F" w14:textId="77777777" w:rsidTr="00D17B25">
        <w:tc>
          <w:tcPr>
            <w:tcW w:w="2561" w:type="dxa"/>
          </w:tcPr>
          <w:p w14:paraId="3B02DCA5" w14:textId="77777777" w:rsidR="00352618" w:rsidRPr="00D714AE" w:rsidRDefault="00352618" w:rsidP="00AE79EB">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Generic</w:t>
            </w:r>
            <w:r w:rsidRPr="00D714AE">
              <w:rPr>
                <w:rFonts w:ascii="Open Sans" w:eastAsia="Times New Roman" w:hAnsi="Open Sans" w:cs="Open Sans"/>
                <w:color w:val="002060"/>
                <w:sz w:val="24"/>
                <w:szCs w:val="24"/>
                <w:bdr w:val="none" w:sz="0" w:space="0" w:color="auto" w:frame="1"/>
                <w:lang w:val="en-GB"/>
              </w:rPr>
              <w:t xml:space="preserve"> </w:t>
            </w:r>
          </w:p>
          <w:p w14:paraId="025E555E" w14:textId="0818D07C" w:rsidR="0006668E" w:rsidRPr="003C0402" w:rsidRDefault="00352618" w:rsidP="00AE79EB">
            <w:pPr>
              <w:rPr>
                <w:rFonts w:ascii="Open Sans" w:eastAsia="Times New Roman" w:hAnsi="Open Sans" w:cs="Open Sans"/>
                <w:color w:val="002060"/>
                <w:bdr w:val="none" w:sz="0" w:space="0" w:color="auto" w:frame="1"/>
                <w:lang w:val="en-GB"/>
              </w:rPr>
            </w:pPr>
            <w:r w:rsidRPr="003C0402">
              <w:rPr>
                <w:rFonts w:ascii="Open Sans" w:eastAsia="Times New Roman" w:hAnsi="Open Sans" w:cs="Open Sans"/>
                <w:color w:val="005689"/>
                <w:bdr w:val="none" w:sz="0" w:space="0" w:color="auto" w:frame="1"/>
                <w:lang w:val="en-GB"/>
              </w:rPr>
              <w:t>Supplier audits</w:t>
            </w:r>
          </w:p>
        </w:tc>
        <w:tc>
          <w:tcPr>
            <w:tcW w:w="6501" w:type="dxa"/>
          </w:tcPr>
          <w:p w14:paraId="77FD9C62" w14:textId="56A0A20C" w:rsidR="000002CC" w:rsidRPr="000611BE" w:rsidRDefault="006F2AC5" w:rsidP="000002CC">
            <w:pPr>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Pr>
                <w:rFonts w:ascii="Open Sans" w:hAnsi="Open Sans" w:cs="Open Sans"/>
                <w:sz w:val="18"/>
                <w:szCs w:val="18"/>
                <w:lang w:val="en-GB"/>
              </w:rPr>
            </w:r>
            <w:r>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00752107" w:rsidRPr="00752107">
              <w:rPr>
                <w:rFonts w:ascii="Open Sans" w:hAnsi="Open Sans" w:cs="Open Sans"/>
                <w:sz w:val="18"/>
                <w:szCs w:val="18"/>
                <w:lang w:val="en-GB"/>
              </w:rPr>
              <w:t xml:space="preserve">Does your tender incorporate contract conditions/KPIs that stipulate verification of suppliers' environmental and social claims through “spot checks” and audit provisions?  </w:t>
            </w:r>
          </w:p>
        </w:tc>
      </w:tr>
    </w:tbl>
    <w:p w14:paraId="3AE18C7F" w14:textId="77777777" w:rsidR="004D364D" w:rsidRDefault="004D364D">
      <w:pPr>
        <w:rPr>
          <w:lang w:val="en-GB"/>
        </w:rPr>
      </w:pPr>
    </w:p>
    <w:p w14:paraId="07ED1AC1" w14:textId="40847537" w:rsidR="00717F1F" w:rsidRPr="00641E9E" w:rsidRDefault="00717F1F">
      <w:pPr>
        <w:rPr>
          <w:lang w:val="en-GB"/>
        </w:rPr>
      </w:pPr>
      <w:r>
        <w:rPr>
          <w:noProof/>
          <w:lang w:val="en-US" w:eastAsia="en-US"/>
        </w:rPr>
        <w:drawing>
          <wp:inline distT="0" distB="0" distL="0" distR="0" wp14:anchorId="73BD7828" wp14:editId="46B78127">
            <wp:extent cx="866775" cy="7524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r>
        <w:rPr>
          <w:noProof/>
          <w:lang w:val="en-US" w:eastAsia="en-US"/>
        </w:rPr>
        <w:drawing>
          <wp:inline distT="0" distB="0" distL="0" distR="0" wp14:anchorId="66857F60" wp14:editId="2A7485A1">
            <wp:extent cx="877401" cy="779911"/>
            <wp:effectExtent l="0" t="0" r="0" b="127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063" cy="788500"/>
                    </a:xfrm>
                    <a:prstGeom prst="rect">
                      <a:avLst/>
                    </a:prstGeom>
                    <a:noFill/>
                    <a:ln>
                      <a:noFill/>
                    </a:ln>
                  </pic:spPr>
                </pic:pic>
              </a:graphicData>
            </a:graphic>
          </wp:inline>
        </w:drawing>
      </w:r>
      <w:r w:rsidR="00A039F2">
        <w:rPr>
          <w:lang w:val="en-GB"/>
        </w:rPr>
        <w:t xml:space="preserve">   </w:t>
      </w:r>
      <w:r w:rsidR="00A039F2">
        <w:rPr>
          <w:noProof/>
          <w:lang w:val="en-US" w:eastAsia="en-US"/>
        </w:rPr>
        <w:drawing>
          <wp:inline distT="0" distB="0" distL="0" distR="0" wp14:anchorId="667BBD49" wp14:editId="6CB6EF19">
            <wp:extent cx="766405" cy="745116"/>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753" cy="755177"/>
                    </a:xfrm>
                    <a:prstGeom prst="rect">
                      <a:avLst/>
                    </a:prstGeom>
                    <a:noFill/>
                    <a:ln>
                      <a:noFill/>
                    </a:ln>
                  </pic:spPr>
                </pic:pic>
              </a:graphicData>
            </a:graphic>
          </wp:inline>
        </w:drawing>
      </w:r>
    </w:p>
    <w:sectPr w:rsidR="00717F1F" w:rsidRPr="00641E9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CF8FB" w14:textId="77777777" w:rsidR="007E2AD4" w:rsidRDefault="007E2AD4" w:rsidP="00411BE8">
      <w:pPr>
        <w:spacing w:after="0" w:line="240" w:lineRule="auto"/>
      </w:pPr>
      <w:r>
        <w:separator/>
      </w:r>
    </w:p>
  </w:endnote>
  <w:endnote w:type="continuationSeparator" w:id="0">
    <w:p w14:paraId="0E10CAFC" w14:textId="77777777" w:rsidR="007E2AD4" w:rsidRDefault="007E2AD4" w:rsidP="0041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092206"/>
      <w:docPartObj>
        <w:docPartGallery w:val="Page Numbers (Bottom of Page)"/>
        <w:docPartUnique/>
      </w:docPartObj>
    </w:sdtPr>
    <w:sdtEndPr/>
    <w:sdtContent>
      <w:p w14:paraId="5F9D40DF" w14:textId="6A69163D" w:rsidR="00411BE8" w:rsidRDefault="00411BE8">
        <w:pPr>
          <w:pStyle w:val="Footer"/>
          <w:jc w:val="center"/>
        </w:pPr>
        <w:r>
          <w:t>-</w:t>
        </w:r>
        <w:r>
          <w:fldChar w:fldCharType="begin"/>
        </w:r>
        <w:r>
          <w:instrText>PAGE   \* MERGEFORMAT</w:instrText>
        </w:r>
        <w:r>
          <w:fldChar w:fldCharType="separate"/>
        </w:r>
        <w:r w:rsidR="009E411E">
          <w:rPr>
            <w:noProof/>
          </w:rPr>
          <w:t>2</w:t>
        </w:r>
        <w:r>
          <w:fldChar w:fldCharType="end"/>
        </w:r>
        <w:r>
          <w:t>-</w:t>
        </w:r>
      </w:p>
    </w:sdtContent>
  </w:sdt>
  <w:p w14:paraId="5B1FA947" w14:textId="77777777" w:rsidR="00411BE8" w:rsidRDefault="0041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90F5" w14:textId="77777777" w:rsidR="007E2AD4" w:rsidRDefault="007E2AD4" w:rsidP="00411BE8">
      <w:pPr>
        <w:spacing w:after="0" w:line="240" w:lineRule="auto"/>
      </w:pPr>
      <w:r>
        <w:separator/>
      </w:r>
    </w:p>
  </w:footnote>
  <w:footnote w:type="continuationSeparator" w:id="0">
    <w:p w14:paraId="0EB515E4" w14:textId="77777777" w:rsidR="007E2AD4" w:rsidRDefault="007E2AD4" w:rsidP="00411B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06"/>
    <w:rsid w:val="000002CC"/>
    <w:rsid w:val="00012581"/>
    <w:rsid w:val="000611BE"/>
    <w:rsid w:val="00062B82"/>
    <w:rsid w:val="00062C04"/>
    <w:rsid w:val="0006668E"/>
    <w:rsid w:val="00075DBB"/>
    <w:rsid w:val="000E2F4A"/>
    <w:rsid w:val="00137C01"/>
    <w:rsid w:val="00152A36"/>
    <w:rsid w:val="001A37AB"/>
    <w:rsid w:val="001C3354"/>
    <w:rsid w:val="0022041B"/>
    <w:rsid w:val="00251618"/>
    <w:rsid w:val="003477E6"/>
    <w:rsid w:val="00352618"/>
    <w:rsid w:val="003616A7"/>
    <w:rsid w:val="003A3673"/>
    <w:rsid w:val="003C0402"/>
    <w:rsid w:val="003D07B3"/>
    <w:rsid w:val="003D10D9"/>
    <w:rsid w:val="003D615D"/>
    <w:rsid w:val="003E0E60"/>
    <w:rsid w:val="00411BE8"/>
    <w:rsid w:val="004123C8"/>
    <w:rsid w:val="004871B8"/>
    <w:rsid w:val="00494C66"/>
    <w:rsid w:val="004A00BE"/>
    <w:rsid w:val="004C20FD"/>
    <w:rsid w:val="004D364D"/>
    <w:rsid w:val="004F27D3"/>
    <w:rsid w:val="005119FE"/>
    <w:rsid w:val="005125F2"/>
    <w:rsid w:val="00540B42"/>
    <w:rsid w:val="00546AC5"/>
    <w:rsid w:val="005C6552"/>
    <w:rsid w:val="005D4C53"/>
    <w:rsid w:val="00641E9E"/>
    <w:rsid w:val="006F0F97"/>
    <w:rsid w:val="006F2AC5"/>
    <w:rsid w:val="00717F1F"/>
    <w:rsid w:val="00752107"/>
    <w:rsid w:val="007844EC"/>
    <w:rsid w:val="007C2C13"/>
    <w:rsid w:val="007E2AD4"/>
    <w:rsid w:val="007F4835"/>
    <w:rsid w:val="008027FC"/>
    <w:rsid w:val="00860B96"/>
    <w:rsid w:val="008A341F"/>
    <w:rsid w:val="00923D09"/>
    <w:rsid w:val="009573CD"/>
    <w:rsid w:val="009944A2"/>
    <w:rsid w:val="009E411E"/>
    <w:rsid w:val="009F6974"/>
    <w:rsid w:val="00A039F2"/>
    <w:rsid w:val="00A7160D"/>
    <w:rsid w:val="00AA5A85"/>
    <w:rsid w:val="00AE79EB"/>
    <w:rsid w:val="00B9347A"/>
    <w:rsid w:val="00BA3109"/>
    <w:rsid w:val="00BC296A"/>
    <w:rsid w:val="00BD15BC"/>
    <w:rsid w:val="00C21FE9"/>
    <w:rsid w:val="00C54717"/>
    <w:rsid w:val="00C73969"/>
    <w:rsid w:val="00C73D06"/>
    <w:rsid w:val="00C76FAB"/>
    <w:rsid w:val="00C9186A"/>
    <w:rsid w:val="00D14F3F"/>
    <w:rsid w:val="00D714AE"/>
    <w:rsid w:val="00DD7FF4"/>
    <w:rsid w:val="00DE131A"/>
    <w:rsid w:val="00E23282"/>
    <w:rsid w:val="00E27FD0"/>
    <w:rsid w:val="00E85C9C"/>
    <w:rsid w:val="00F03F51"/>
    <w:rsid w:val="00F21915"/>
    <w:rsid w:val="00FC67CF"/>
    <w:rsid w:val="00FD6FA4"/>
    <w:rsid w:val="00FF6C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EDBC17"/>
  <w15:chartTrackingRefBased/>
  <w15:docId w15:val="{FFFB4EC7-0D64-4A1A-B3F7-70833BEA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1BE8"/>
  </w:style>
  <w:style w:type="paragraph" w:styleId="Footer">
    <w:name w:val="footer"/>
    <w:basedOn w:val="Normal"/>
    <w:link w:val="FooterChar"/>
    <w:uiPriority w:val="99"/>
    <w:unhideWhenUsed/>
    <w:rsid w:val="00411B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1BE8"/>
  </w:style>
  <w:style w:type="paragraph" w:customStyle="1" w:styleId="BodyText21">
    <w:name w:val="Body Text 21"/>
    <w:basedOn w:val="Normal"/>
    <w:rsid w:val="007C2C13"/>
    <w:pPr>
      <w:widowControl w:val="0"/>
      <w:overflowPunct w:val="0"/>
      <w:autoSpaceDE w:val="0"/>
      <w:autoSpaceDN w:val="0"/>
      <w:adjustRightInd w:val="0"/>
      <w:spacing w:after="0" w:line="240" w:lineRule="auto"/>
      <w:jc w:val="both"/>
      <w:textAlignment w:val="baseline"/>
    </w:pPr>
    <w:rPr>
      <w:rFonts w:ascii="Bookman Old Style" w:eastAsia="Times New Roman" w:hAnsi="Bookman Old Style" w:cs="Times New Roman"/>
      <w:szCs w:val="20"/>
      <w:lang w:val="en-US" w:eastAsia="fr-FR"/>
    </w:rPr>
  </w:style>
  <w:style w:type="character" w:styleId="Hyperlink">
    <w:name w:val="Hyperlink"/>
    <w:basedOn w:val="DefaultParagraphFont"/>
    <w:uiPriority w:val="99"/>
    <w:unhideWhenUsed/>
    <w:rsid w:val="00F21915"/>
    <w:rPr>
      <w:color w:val="0563C1" w:themeColor="hyperlink"/>
      <w:u w:val="single"/>
    </w:rPr>
  </w:style>
  <w:style w:type="character" w:customStyle="1" w:styleId="UnresolvedMention1">
    <w:name w:val="Unresolved Mention1"/>
    <w:basedOn w:val="DefaultParagraphFont"/>
    <w:uiPriority w:val="99"/>
    <w:semiHidden/>
    <w:unhideWhenUsed/>
    <w:rsid w:val="00F21915"/>
    <w:rPr>
      <w:color w:val="605E5C"/>
      <w:shd w:val="clear" w:color="auto" w:fill="E1DFDD"/>
    </w:rPr>
  </w:style>
  <w:style w:type="character" w:styleId="FollowedHyperlink">
    <w:name w:val="FollowedHyperlink"/>
    <w:basedOn w:val="DefaultParagraphFont"/>
    <w:uiPriority w:val="99"/>
    <w:semiHidden/>
    <w:unhideWhenUsed/>
    <w:rsid w:val="00F21915"/>
    <w:rPr>
      <w:color w:val="954F72" w:themeColor="followedHyperlink"/>
      <w:u w:val="single"/>
    </w:rPr>
  </w:style>
  <w:style w:type="paragraph" w:styleId="Revision">
    <w:name w:val="Revision"/>
    <w:hidden/>
    <w:uiPriority w:val="99"/>
    <w:semiHidden/>
    <w:rsid w:val="00DE1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m.org/Shared/KnowledgeCenter/Pages/SPIndicato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75884.22F8151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B8E4E3F0"/><Relationship Id="rId5" Type="http://schemas.openxmlformats.org/officeDocument/2006/relationships/endnotes" Target="endnotes.xml"/><Relationship Id="rId10" Type="http://schemas.openxmlformats.org/officeDocument/2006/relationships/image" Target="media/image3.B8E4E3F0"/><Relationship Id="rId4" Type="http://schemas.openxmlformats.org/officeDocument/2006/relationships/footnotes" Target="footnotes.xml"/><Relationship Id="rId9" Type="http://schemas.openxmlformats.org/officeDocument/2006/relationships/image" Target="media/image2.B8E4E3F0"/><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7795</Characters>
  <Application>Microsoft Office Word</Application>
  <DocSecurity>0</DocSecurity>
  <Lines>251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Bakhil, Rwaida</dc:creator>
  <cp:keywords/>
  <dc:description/>
  <cp:lastModifiedBy>Kokanbayeva, Madina</cp:lastModifiedBy>
  <cp:revision>4</cp:revision>
  <dcterms:created xsi:type="dcterms:W3CDTF">2023-05-02T11:42:00Z</dcterms:created>
  <dcterms:modified xsi:type="dcterms:W3CDTF">2025-03-26T05:11:00Z</dcterms:modified>
</cp:coreProperties>
</file>