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17A06" w14:textId="3D6E36F1" w:rsidR="00342D88" w:rsidRPr="007E06C3" w:rsidRDefault="00342D88" w:rsidP="00342D88">
      <w:pPr>
        <w:jc w:val="center"/>
        <w:rPr>
          <w:b/>
          <w:bCs/>
          <w:sz w:val="28"/>
          <w:szCs w:val="28"/>
          <w:lang w:val="en-US"/>
        </w:rPr>
      </w:pPr>
      <w:r w:rsidRPr="00342D88">
        <w:rPr>
          <w:b/>
          <w:bCs/>
          <w:sz w:val="28"/>
          <w:szCs w:val="28"/>
          <w:lang w:val="en-US"/>
        </w:rPr>
        <w:t>Request for Bid Information Systems</w:t>
      </w:r>
      <w:r w:rsidR="00DF0208">
        <w:rPr>
          <w:b/>
          <w:bCs/>
          <w:sz w:val="28"/>
          <w:szCs w:val="28"/>
          <w:lang w:val="tg-Cyrl-TJ"/>
        </w:rPr>
        <w:t xml:space="preserve"> </w:t>
      </w:r>
      <w:r w:rsidRPr="00342D88">
        <w:rPr>
          <w:b/>
          <w:bCs/>
          <w:sz w:val="28"/>
          <w:szCs w:val="28"/>
          <w:lang w:val="en-US"/>
        </w:rPr>
        <w:t xml:space="preserve">(Design, Supply and Installation) </w:t>
      </w:r>
    </w:p>
    <w:p w14:paraId="22796B51" w14:textId="74702ED4" w:rsidR="00400CC5" w:rsidRPr="00342D88" w:rsidRDefault="00342D88" w:rsidP="00342D88">
      <w:pPr>
        <w:jc w:val="center"/>
        <w:rPr>
          <w:b/>
          <w:bCs/>
          <w:sz w:val="28"/>
          <w:szCs w:val="28"/>
          <w:lang w:val="en-US"/>
        </w:rPr>
      </w:pPr>
      <w:r w:rsidRPr="00342D88">
        <w:rPr>
          <w:b/>
          <w:bCs/>
          <w:sz w:val="28"/>
          <w:szCs w:val="28"/>
          <w:lang w:val="en-US"/>
        </w:rPr>
        <w:t>(Without Prequalification)</w:t>
      </w:r>
    </w:p>
    <w:p w14:paraId="1FEA23E8" w14:textId="77777777" w:rsidR="00342D88" w:rsidRPr="00342D88" w:rsidRDefault="00342D88" w:rsidP="00342D88">
      <w:pPr>
        <w:jc w:val="center"/>
        <w:rPr>
          <w:b/>
          <w:bCs/>
          <w:color w:val="000000"/>
          <w:sz w:val="32"/>
          <w:szCs w:val="32"/>
          <w:lang w:val="en-US"/>
        </w:rPr>
      </w:pPr>
    </w:p>
    <w:p w14:paraId="2716C39E" w14:textId="77777777" w:rsidR="00400CC5" w:rsidRPr="00DF0208" w:rsidRDefault="00400CC5" w:rsidP="00400CC5">
      <w:pPr>
        <w:spacing w:before="60" w:after="60"/>
        <w:jc w:val="both"/>
        <w:rPr>
          <w:color w:val="000000" w:themeColor="text1"/>
        </w:rPr>
      </w:pPr>
      <w:r w:rsidRPr="00DF0208">
        <w:rPr>
          <w:iCs/>
          <w:color w:val="000000" w:themeColor="text1"/>
        </w:rPr>
        <w:t>Purchaser</w:t>
      </w:r>
      <w:r w:rsidRPr="00DF0208">
        <w:rPr>
          <w:b/>
          <w:color w:val="000000" w:themeColor="text1"/>
        </w:rPr>
        <w:t xml:space="preserve">: </w:t>
      </w:r>
      <w:r w:rsidRPr="00DF0208">
        <w:rPr>
          <w:color w:val="000000" w:themeColor="text1"/>
        </w:rPr>
        <w:t xml:space="preserve">Ministry of Finance of the Republic of Tajikistan, </w:t>
      </w:r>
    </w:p>
    <w:p w14:paraId="2F5B38ED" w14:textId="77777777" w:rsidR="00400CC5" w:rsidRPr="00DF0208" w:rsidRDefault="00400CC5" w:rsidP="00400CC5">
      <w:pPr>
        <w:spacing w:before="60" w:after="60"/>
        <w:jc w:val="both"/>
        <w:rPr>
          <w:bCs/>
          <w:iCs/>
          <w:color w:val="000000" w:themeColor="text1"/>
        </w:rPr>
      </w:pPr>
      <w:r w:rsidRPr="00DF0208">
        <w:rPr>
          <w:color w:val="000000" w:themeColor="text1"/>
        </w:rPr>
        <w:t>Project</w:t>
      </w:r>
      <w:r w:rsidRPr="00DF0208">
        <w:rPr>
          <w:b/>
          <w:color w:val="000000" w:themeColor="text1"/>
        </w:rPr>
        <w:t>:</w:t>
      </w:r>
      <w:r w:rsidRPr="00DF0208">
        <w:rPr>
          <w:b/>
          <w:bCs/>
          <w:iCs/>
          <w:color w:val="000000" w:themeColor="text1"/>
        </w:rPr>
        <w:t xml:space="preserve"> </w:t>
      </w:r>
      <w:r w:rsidRPr="00DF0208">
        <w:rPr>
          <w:color w:val="000000" w:themeColor="text1"/>
        </w:rPr>
        <w:t>Public Finance Management Modernization Project II</w:t>
      </w:r>
    </w:p>
    <w:p w14:paraId="59A39C3C" w14:textId="74D7C466" w:rsidR="00400CC5" w:rsidRPr="00DF0208" w:rsidRDefault="00400CC5" w:rsidP="00400CC5">
      <w:pPr>
        <w:spacing w:before="60" w:after="60"/>
        <w:jc w:val="both"/>
        <w:rPr>
          <w:color w:val="000000" w:themeColor="text1"/>
        </w:rPr>
      </w:pPr>
      <w:r w:rsidRPr="00DF0208">
        <w:rPr>
          <w:iCs/>
          <w:color w:val="000000" w:themeColor="text1"/>
        </w:rPr>
        <w:t>Contract title</w:t>
      </w:r>
      <w:r w:rsidRPr="00DF0208">
        <w:rPr>
          <w:b/>
          <w:color w:val="000000" w:themeColor="text1"/>
        </w:rPr>
        <w:t xml:space="preserve">: </w:t>
      </w:r>
      <w:r w:rsidR="007E06C3" w:rsidRPr="00DF0208">
        <w:rPr>
          <w:color w:val="000000" w:themeColor="text1"/>
          <w:lang w:val="en-US"/>
        </w:rPr>
        <w:t>Development and introduction of additional functionality of the Human Resource Management Information System of the Civil Service Agency under the President of the Republic of Tajikistan</w:t>
      </w:r>
      <w:r w:rsidRPr="00DF0208">
        <w:rPr>
          <w:color w:val="000000" w:themeColor="text1"/>
        </w:rPr>
        <w:t>.</w:t>
      </w:r>
    </w:p>
    <w:p w14:paraId="74AD9637" w14:textId="77777777" w:rsidR="00400CC5" w:rsidRPr="00DF0208" w:rsidRDefault="00400CC5" w:rsidP="00400CC5">
      <w:pPr>
        <w:spacing w:before="60" w:after="60"/>
        <w:ind w:right="-540"/>
        <w:jc w:val="both"/>
        <w:rPr>
          <w:color w:val="000000" w:themeColor="text1"/>
        </w:rPr>
      </w:pPr>
      <w:r w:rsidRPr="00DF0208">
        <w:rPr>
          <w:color w:val="000000" w:themeColor="text1"/>
        </w:rPr>
        <w:t>Country</w:t>
      </w:r>
      <w:r w:rsidRPr="00DF0208">
        <w:rPr>
          <w:b/>
          <w:color w:val="000000" w:themeColor="text1"/>
        </w:rPr>
        <w:t xml:space="preserve">: </w:t>
      </w:r>
      <w:r w:rsidRPr="00DF0208">
        <w:rPr>
          <w:color w:val="000000" w:themeColor="text1"/>
        </w:rPr>
        <w:t>Republic of Tajikistan</w:t>
      </w:r>
    </w:p>
    <w:p w14:paraId="4268B5D0" w14:textId="77777777" w:rsidR="00400CC5" w:rsidRPr="00DF0208" w:rsidRDefault="00400CC5" w:rsidP="00400CC5">
      <w:pPr>
        <w:spacing w:before="60" w:after="60"/>
        <w:jc w:val="both"/>
      </w:pPr>
      <w:r w:rsidRPr="00DF0208">
        <w:rPr>
          <w:noProof/>
        </w:rPr>
        <w:t>Grant No.:</w:t>
      </w:r>
      <w:r w:rsidRPr="00DF0208">
        <w:t xml:space="preserve"> D750</w:t>
      </w:r>
    </w:p>
    <w:p w14:paraId="4613D3E3" w14:textId="7654D374" w:rsidR="00400CC5" w:rsidRPr="00DF0208" w:rsidRDefault="00400CC5" w:rsidP="00400CC5">
      <w:pPr>
        <w:spacing w:before="60" w:after="60"/>
        <w:jc w:val="both"/>
        <w:rPr>
          <w:b/>
          <w:lang w:val="en-US"/>
        </w:rPr>
      </w:pPr>
      <w:r w:rsidRPr="00DF0208">
        <w:t>RFB No:</w:t>
      </w:r>
      <w:r w:rsidRPr="00DF0208">
        <w:rPr>
          <w:b/>
        </w:rPr>
        <w:t xml:space="preserve"> </w:t>
      </w:r>
      <w:r w:rsidR="007E06C3" w:rsidRPr="00DF0208">
        <w:rPr>
          <w:lang w:val="en-US"/>
        </w:rPr>
        <w:t>AF/PFMMPII/RFB-N-2/2024</w:t>
      </w:r>
    </w:p>
    <w:p w14:paraId="01B497D1" w14:textId="7214D162" w:rsidR="00400CC5" w:rsidRPr="00DF0208" w:rsidRDefault="00400CC5" w:rsidP="00400CC5">
      <w:pPr>
        <w:jc w:val="both"/>
        <w:rPr>
          <w:color w:val="000000" w:themeColor="text1"/>
        </w:rPr>
      </w:pPr>
      <w:r w:rsidRPr="00DF0208">
        <w:rPr>
          <w:color w:val="000000" w:themeColor="text1"/>
        </w:rPr>
        <w:t>Issued on:</w:t>
      </w:r>
      <w:r w:rsidRPr="00DF0208">
        <w:rPr>
          <w:b/>
          <w:color w:val="000000" w:themeColor="text1"/>
        </w:rPr>
        <w:t xml:space="preserve"> </w:t>
      </w:r>
      <w:r w:rsidR="00571588">
        <w:rPr>
          <w:color w:val="000000" w:themeColor="text1"/>
        </w:rPr>
        <w:t>January 06</w:t>
      </w:r>
      <w:r w:rsidRPr="00DF0208">
        <w:rPr>
          <w:color w:val="000000" w:themeColor="text1"/>
        </w:rPr>
        <w:t>, 202</w:t>
      </w:r>
      <w:r w:rsidR="00084072">
        <w:rPr>
          <w:color w:val="000000" w:themeColor="text1"/>
        </w:rPr>
        <w:t>5</w:t>
      </w:r>
    </w:p>
    <w:p w14:paraId="0830D311" w14:textId="77777777" w:rsidR="00400CC5" w:rsidRPr="00DF0208" w:rsidRDefault="00400CC5" w:rsidP="00400CC5">
      <w:pPr>
        <w:jc w:val="both"/>
        <w:rPr>
          <w:color w:val="000000"/>
          <w:spacing w:val="-2"/>
        </w:rPr>
      </w:pPr>
    </w:p>
    <w:p w14:paraId="076BF157" w14:textId="77777777" w:rsidR="00121B15" w:rsidRDefault="00400CC5" w:rsidP="00121B15">
      <w:pPr>
        <w:pStyle w:val="a7"/>
        <w:numPr>
          <w:ilvl w:val="0"/>
          <w:numId w:val="17"/>
        </w:numPr>
        <w:spacing w:line="360" w:lineRule="auto"/>
        <w:ind w:left="284" w:hanging="284"/>
        <w:jc w:val="both"/>
        <w:rPr>
          <w:iCs/>
        </w:rPr>
      </w:pPr>
      <w:r w:rsidRPr="00DF0208">
        <w:rPr>
          <w:iCs/>
        </w:rPr>
        <w:t xml:space="preserve">The Ministry of Finance of the Republic of Tajikistan has received financing from the World Bank toward the cost of the Public Finance Management Modernization Project II, and intends to apply part of the proceeds toward payments under the contract for </w:t>
      </w:r>
      <w:r w:rsidR="007E06C3" w:rsidRPr="00DF0208">
        <w:rPr>
          <w:iCs/>
          <w:lang w:val="en-US"/>
        </w:rPr>
        <w:t>Development and introduction of additional functionality of the Human Resource Management Information System of the Civil Service Agency under the President of the Republic of Tajikistan</w:t>
      </w:r>
      <w:r w:rsidRPr="00DF0208">
        <w:rPr>
          <w:iCs/>
        </w:rPr>
        <w:t>.</w:t>
      </w:r>
    </w:p>
    <w:p w14:paraId="1CC43F34" w14:textId="10EA4BD5" w:rsidR="00400CC5" w:rsidRPr="00E556A2" w:rsidRDefault="00400CC5" w:rsidP="00121B15">
      <w:pPr>
        <w:spacing w:line="360" w:lineRule="auto"/>
        <w:ind w:left="-63"/>
        <w:jc w:val="both"/>
        <w:rPr>
          <w:iCs/>
          <w:sz w:val="8"/>
          <w:szCs w:val="8"/>
        </w:rPr>
      </w:pPr>
      <w:r w:rsidRPr="00121B15">
        <w:rPr>
          <w:spacing w:val="-2"/>
        </w:rPr>
        <w:t xml:space="preserve"> </w:t>
      </w:r>
    </w:p>
    <w:p w14:paraId="2FB96DCE" w14:textId="32D958CD" w:rsidR="00400CC5" w:rsidRPr="00121B15" w:rsidRDefault="00400CC5" w:rsidP="00121B15">
      <w:pPr>
        <w:pStyle w:val="a7"/>
        <w:numPr>
          <w:ilvl w:val="0"/>
          <w:numId w:val="17"/>
        </w:numPr>
        <w:spacing w:line="360" w:lineRule="auto"/>
        <w:ind w:left="284" w:hanging="284"/>
        <w:jc w:val="both"/>
        <w:rPr>
          <w:color w:val="000000"/>
          <w:spacing w:val="-2"/>
        </w:rPr>
      </w:pPr>
      <w:r w:rsidRPr="00121B15">
        <w:rPr>
          <w:color w:val="000000"/>
          <w:spacing w:val="-2"/>
        </w:rPr>
        <w:t xml:space="preserve">The </w:t>
      </w:r>
      <w:r w:rsidRPr="00121B15">
        <w:rPr>
          <w:iCs/>
        </w:rPr>
        <w:t>Ministry of Finance of the Republic of Tajikistan</w:t>
      </w:r>
      <w:r w:rsidRPr="00121B15">
        <w:rPr>
          <w:color w:val="000000"/>
          <w:spacing w:val="-2"/>
        </w:rPr>
        <w:t xml:space="preserve"> now invites sealed Bids from eligible Bidders for </w:t>
      </w:r>
      <w:r w:rsidRPr="00121B15">
        <w:rPr>
          <w:iCs/>
        </w:rPr>
        <w:t>Development, testing and introduction of the Public Investments Program Development and Monitoring Information System for Ministry of Economic Development and Trade of the Republic of Tajikistan</w:t>
      </w:r>
      <w:r w:rsidRPr="00121B15">
        <w:rPr>
          <w:color w:val="000000"/>
          <w:spacing w:val="-2"/>
        </w:rPr>
        <w:t>.</w:t>
      </w:r>
    </w:p>
    <w:p w14:paraId="0400EEE4" w14:textId="77777777" w:rsidR="00121B15" w:rsidRPr="00E556A2" w:rsidRDefault="00121B15" w:rsidP="00121B1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uto"/>
        <w:jc w:val="both"/>
        <w:rPr>
          <w:color w:val="000000"/>
          <w:spacing w:val="-2"/>
          <w:sz w:val="6"/>
          <w:szCs w:val="6"/>
        </w:rPr>
      </w:pPr>
    </w:p>
    <w:p w14:paraId="77B64F59" w14:textId="77777777" w:rsidR="00400CC5" w:rsidRPr="00DF0208" w:rsidRDefault="00400CC5" w:rsidP="00121B15">
      <w:pPr>
        <w:spacing w:line="360" w:lineRule="auto"/>
        <w:ind w:left="284" w:hanging="284"/>
        <w:jc w:val="both"/>
        <w:rPr>
          <w:color w:val="000000"/>
          <w:spacing w:val="-2"/>
          <w:lang w:val="en-US"/>
        </w:rPr>
      </w:pPr>
      <w:r w:rsidRPr="00DF0208">
        <w:fldChar w:fldCharType="begin"/>
      </w:r>
      <w:r w:rsidRPr="00DF0208">
        <w:instrText xml:space="preserve">  </w:instrText>
      </w:r>
      <w:r w:rsidRPr="00DF0208">
        <w:fldChar w:fldCharType="end"/>
      </w:r>
      <w:r w:rsidRPr="00DF0208">
        <w:rPr>
          <w:color w:val="000000"/>
          <w:spacing w:val="-2"/>
        </w:rPr>
        <w:t xml:space="preserve">3. </w:t>
      </w:r>
      <w:r w:rsidRPr="00DF0208">
        <w:rPr>
          <w:color w:val="000000"/>
          <w:spacing w:val="-2"/>
        </w:rPr>
        <w:tab/>
        <w:t xml:space="preserve">Bidding will be conducted through </w:t>
      </w:r>
      <w:r w:rsidRPr="00DF0208">
        <w:rPr>
          <w:color w:val="000000"/>
        </w:rPr>
        <w:t xml:space="preserve">national competitive procurement using Request for Bids (RFB) </w:t>
      </w:r>
      <w:r w:rsidRPr="00DF0208">
        <w:rPr>
          <w:color w:val="000000"/>
          <w:spacing w:val="-2"/>
        </w:rPr>
        <w:t>as specified in the World Bank’s “</w:t>
      </w:r>
      <w:hyperlink r:id="rId7" w:history="1">
        <w:r w:rsidRPr="00DF0208">
          <w:rPr>
            <w:color w:val="000000"/>
            <w:spacing w:val="-2"/>
          </w:rPr>
          <w:t>Procurement</w:t>
        </w:r>
      </w:hyperlink>
      <w:r w:rsidRPr="00DF0208">
        <w:rPr>
          <w:color w:val="000000"/>
        </w:rPr>
        <w:t xml:space="preserve"> Regulations for IPF Borrowers” dated July 2016 and revised in September 2023</w:t>
      </w:r>
      <w:r w:rsidRPr="00DF0208">
        <w:rPr>
          <w:color w:val="000000"/>
          <w:spacing w:val="-2"/>
        </w:rPr>
        <w:t xml:space="preserve"> (“Procurement Regulations”) and is open to all eligible Bidders as defined in the Procurement Regulations.</w:t>
      </w:r>
    </w:p>
    <w:p w14:paraId="280F0F88" w14:textId="77777777" w:rsidR="00400CC5" w:rsidRPr="00DF0208" w:rsidRDefault="00400CC5" w:rsidP="00DF0208">
      <w:pPr>
        <w:ind w:left="630" w:hanging="630"/>
        <w:jc w:val="both"/>
        <w:rPr>
          <w:color w:val="000000"/>
          <w:spacing w:val="-2"/>
          <w:lang w:val="en-US"/>
        </w:rPr>
      </w:pPr>
    </w:p>
    <w:p w14:paraId="64D3942B" w14:textId="77777777" w:rsidR="00400CC5" w:rsidRPr="00DF0208" w:rsidRDefault="00400CC5" w:rsidP="00121B15">
      <w:pPr>
        <w:ind w:left="284" w:hanging="284"/>
        <w:jc w:val="both"/>
        <w:rPr>
          <w:i/>
          <w:color w:val="000000"/>
          <w:spacing w:val="-2"/>
          <w:lang w:val="en-US"/>
        </w:rPr>
      </w:pPr>
      <w:r w:rsidRPr="00DF0208">
        <w:rPr>
          <w:color w:val="000000"/>
          <w:spacing w:val="-2"/>
        </w:rPr>
        <w:t xml:space="preserve">4. </w:t>
      </w:r>
      <w:r w:rsidRPr="00DF0208">
        <w:rPr>
          <w:color w:val="000000"/>
          <w:spacing w:val="-2"/>
        </w:rPr>
        <w:tab/>
        <w:t xml:space="preserve">The interested eligible Bidders may obtain further information from </w:t>
      </w:r>
      <w:r w:rsidRPr="00DF0208">
        <w:t xml:space="preserve">the Public Finance Management Modernization Project, Ministry of Finance at the address below during office hours from </w:t>
      </w:r>
      <w:r w:rsidRPr="00DF0208">
        <w:rPr>
          <w:b/>
          <w:i/>
          <w:iCs/>
        </w:rPr>
        <w:t>09:00 – 17:00 hours from Monday to Friday</w:t>
      </w:r>
      <w:r w:rsidRPr="00DF0208">
        <w:rPr>
          <w:i/>
          <w:color w:val="000000"/>
          <w:spacing w:val="-2"/>
        </w:rPr>
        <w:t>.</w:t>
      </w:r>
    </w:p>
    <w:p w14:paraId="23E82591" w14:textId="77777777" w:rsidR="00400CC5" w:rsidRPr="00DF0208" w:rsidRDefault="00400CC5" w:rsidP="00400CC5">
      <w:pPr>
        <w:ind w:left="630" w:hanging="630"/>
        <w:jc w:val="both"/>
        <w:rPr>
          <w:i/>
          <w:color w:val="000000"/>
          <w:spacing w:val="-2"/>
          <w:lang w:val="en-US"/>
        </w:rPr>
      </w:pPr>
    </w:p>
    <w:p w14:paraId="5937B64E" w14:textId="77777777" w:rsidR="00121B15" w:rsidRDefault="00400CC5" w:rsidP="00121B15">
      <w:pPr>
        <w:ind w:left="284" w:hanging="284"/>
        <w:jc w:val="both"/>
        <w:rPr>
          <w:color w:val="000000"/>
          <w:spacing w:val="-2"/>
        </w:rPr>
      </w:pPr>
      <w:r w:rsidRPr="00DF0208">
        <w:rPr>
          <w:color w:val="000000"/>
          <w:spacing w:val="-2"/>
        </w:rPr>
        <w:t xml:space="preserve">5. </w:t>
      </w:r>
      <w:r w:rsidRPr="00DF0208">
        <w:rPr>
          <w:color w:val="000000"/>
          <w:spacing w:val="-2"/>
        </w:rPr>
        <w:tab/>
        <w:t xml:space="preserve">The bidding document in </w:t>
      </w:r>
      <w:r w:rsidRPr="00DF0208">
        <w:rPr>
          <w:i/>
          <w:color w:val="000000"/>
          <w:spacing w:val="-2"/>
        </w:rPr>
        <w:t>English</w:t>
      </w:r>
      <w:r w:rsidRPr="00DF0208">
        <w:rPr>
          <w:color w:val="000000"/>
          <w:spacing w:val="-2"/>
        </w:rPr>
        <w:t xml:space="preserve"> may be received by the interested eligible Bidders upon the submission of a written application to the following address:</w:t>
      </w:r>
    </w:p>
    <w:p w14:paraId="23B9972F" w14:textId="77777777" w:rsidR="003614D7" w:rsidRDefault="003614D7" w:rsidP="00121B15">
      <w:pPr>
        <w:jc w:val="both"/>
        <w:rPr>
          <w:color w:val="000000"/>
          <w:spacing w:val="-2"/>
        </w:rPr>
      </w:pPr>
    </w:p>
    <w:p w14:paraId="44A0D445" w14:textId="2B52D4C7" w:rsidR="00400CC5" w:rsidRPr="00121B15" w:rsidRDefault="00400CC5" w:rsidP="00121B15">
      <w:pPr>
        <w:jc w:val="both"/>
        <w:rPr>
          <w:color w:val="000000"/>
          <w:spacing w:val="-2"/>
        </w:rPr>
      </w:pPr>
      <w:r w:rsidRPr="00DF0208">
        <w:rPr>
          <w:b/>
        </w:rPr>
        <w:t>Public Finance Management Modernization Project II</w:t>
      </w:r>
    </w:p>
    <w:p w14:paraId="68FC24B8" w14:textId="7BD756C8" w:rsidR="00400CC5" w:rsidRPr="00DF0208" w:rsidRDefault="00400CC5" w:rsidP="003614D7">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b/>
          <w:lang w:val="tg-Cyrl-TJ"/>
        </w:rPr>
      </w:pPr>
      <w:r w:rsidRPr="00DF0208">
        <w:rPr>
          <w:b/>
        </w:rPr>
        <w:t xml:space="preserve">Ministry of Finance, 35 </w:t>
      </w:r>
      <w:proofErr w:type="spellStart"/>
      <w:r w:rsidRPr="00DF0208">
        <w:rPr>
          <w:b/>
        </w:rPr>
        <w:t>Sheroz</w:t>
      </w:r>
      <w:proofErr w:type="spellEnd"/>
      <w:r w:rsidRPr="00DF0208">
        <w:rPr>
          <w:b/>
        </w:rPr>
        <w:t xml:space="preserve"> St., </w:t>
      </w:r>
      <w:r w:rsidRPr="00DF0208">
        <w:rPr>
          <w:b/>
          <w:lang w:val="en-US"/>
        </w:rPr>
        <w:t>9</w:t>
      </w:r>
      <w:proofErr w:type="spellStart"/>
      <w:r w:rsidRPr="00DF0208">
        <w:rPr>
          <w:b/>
          <w:vertAlign w:val="superscript"/>
        </w:rPr>
        <w:t>th</w:t>
      </w:r>
      <w:proofErr w:type="spellEnd"/>
      <w:r w:rsidRPr="00DF0208">
        <w:rPr>
          <w:b/>
        </w:rPr>
        <w:t xml:space="preserve"> floor, room </w:t>
      </w:r>
      <w:r w:rsidRPr="00DF0208">
        <w:rPr>
          <w:b/>
          <w:lang w:val="en-US"/>
        </w:rPr>
        <w:t>901</w:t>
      </w:r>
    </w:p>
    <w:p w14:paraId="2C1995E4" w14:textId="0F291E49" w:rsidR="00400CC5" w:rsidRPr="00DF0208" w:rsidRDefault="00400CC5" w:rsidP="003614D7">
      <w:pPr>
        <w:numPr>
          <w:ilvl w:val="12"/>
          <w:numId w:val="0"/>
        </w:numPr>
        <w:ind w:left="284" w:hanging="284"/>
        <w:jc w:val="both"/>
        <w:rPr>
          <w:i/>
        </w:rPr>
      </w:pPr>
      <w:r w:rsidRPr="00DF0208">
        <w:rPr>
          <w:b/>
        </w:rPr>
        <w:t>Dushanbe, Republic of Tajikistan</w:t>
      </w:r>
    </w:p>
    <w:p w14:paraId="3103A7F6" w14:textId="77777777" w:rsidR="00121B15" w:rsidRDefault="00400CC5" w:rsidP="003614D7">
      <w:pPr>
        <w:numPr>
          <w:ilvl w:val="12"/>
          <w:numId w:val="0"/>
        </w:numPr>
        <w:ind w:left="284" w:hanging="284"/>
        <w:jc w:val="both"/>
        <w:rPr>
          <w:lang w:val="en-US"/>
        </w:rPr>
      </w:pPr>
      <w:r w:rsidRPr="00DF0208">
        <w:rPr>
          <w:b/>
          <w:lang w:val="en-US"/>
        </w:rPr>
        <w:t xml:space="preserve">Electronic mail address: </w:t>
      </w:r>
      <w:hyperlink r:id="rId8" w:history="1">
        <w:r w:rsidRPr="00DF0208">
          <w:rPr>
            <w:rStyle w:val="ad"/>
            <w:b/>
            <w:lang w:val="en-US"/>
          </w:rPr>
          <w:t>ilhom_nozimov@mail.ru</w:t>
        </w:r>
      </w:hyperlink>
      <w:r w:rsidRPr="00DF0208">
        <w:rPr>
          <w:b/>
          <w:lang w:val="en-US"/>
        </w:rPr>
        <w:t xml:space="preserve"> </w:t>
      </w:r>
      <w:bookmarkStart w:id="0" w:name="_Hlk171427397"/>
    </w:p>
    <w:p w14:paraId="0D1ADC00" w14:textId="07C52406" w:rsidR="00400CC5" w:rsidRDefault="00400CC5" w:rsidP="003614D7">
      <w:pPr>
        <w:numPr>
          <w:ilvl w:val="12"/>
          <w:numId w:val="0"/>
        </w:numPr>
        <w:ind w:left="284" w:hanging="284"/>
        <w:jc w:val="both"/>
        <w:rPr>
          <w:rStyle w:val="ad"/>
          <w:b/>
        </w:rPr>
      </w:pPr>
      <w:r w:rsidRPr="00DF0208">
        <w:rPr>
          <w:b/>
          <w:bCs/>
        </w:rPr>
        <w:t>Electronic mail address:</w:t>
      </w:r>
      <w:r w:rsidRPr="00DF0208">
        <w:t xml:space="preserve"> </w:t>
      </w:r>
      <w:bookmarkEnd w:id="0"/>
      <w:r w:rsidRPr="00DF0208">
        <w:fldChar w:fldCharType="begin"/>
      </w:r>
      <w:r w:rsidRPr="00DF0208">
        <w:instrText>HYPERLINK "mailto:nuralizoda6446@bk.ru"</w:instrText>
      </w:r>
      <w:r w:rsidRPr="00DF0208">
        <w:fldChar w:fldCharType="separate"/>
      </w:r>
      <w:r w:rsidRPr="00DF0208">
        <w:rPr>
          <w:rStyle w:val="ad"/>
          <w:b/>
        </w:rPr>
        <w:t>nuralizoda6446@bk.ru</w:t>
      </w:r>
      <w:r w:rsidRPr="00DF0208">
        <w:rPr>
          <w:rStyle w:val="ad"/>
          <w:b/>
        </w:rPr>
        <w:fldChar w:fldCharType="end"/>
      </w:r>
    </w:p>
    <w:p w14:paraId="090A1966" w14:textId="77777777" w:rsidR="00E556A2" w:rsidRPr="00121B15" w:rsidRDefault="00E556A2" w:rsidP="003614D7">
      <w:pPr>
        <w:numPr>
          <w:ilvl w:val="12"/>
          <w:numId w:val="0"/>
        </w:numPr>
        <w:ind w:left="284" w:hanging="284"/>
        <w:jc w:val="both"/>
        <w:rPr>
          <w:rStyle w:val="ad"/>
          <w:color w:val="auto"/>
          <w:u w:val="none"/>
          <w:lang w:val="en-US"/>
        </w:rPr>
      </w:pPr>
    </w:p>
    <w:p w14:paraId="5A76918A" w14:textId="77777777" w:rsidR="00400CC5" w:rsidRPr="00DF0208" w:rsidRDefault="00400CC5" w:rsidP="00400CC5">
      <w:pPr>
        <w:ind w:left="630"/>
        <w:jc w:val="both"/>
        <w:rPr>
          <w:rStyle w:val="ad"/>
          <w:b/>
          <w:lang w:val="en-US"/>
        </w:rPr>
      </w:pPr>
    </w:p>
    <w:p w14:paraId="11BA350D" w14:textId="7FA3C5E1" w:rsidR="00400CC5" w:rsidRDefault="00867263" w:rsidP="00867263">
      <w:pPr>
        <w:jc w:val="both"/>
        <w:rPr>
          <w:bCs/>
          <w:iCs/>
        </w:rPr>
      </w:pPr>
      <w:r w:rsidRPr="00867263">
        <w:rPr>
          <w:bCs/>
          <w:iCs/>
          <w:lang w:val="en-US"/>
        </w:rPr>
        <w:t xml:space="preserve">6. </w:t>
      </w:r>
      <w:r w:rsidR="00400CC5" w:rsidRPr="00DF0208">
        <w:rPr>
          <w:bCs/>
          <w:iCs/>
        </w:rPr>
        <w:t xml:space="preserve">The document will be sent by electronic mail in PDF format to the </w:t>
      </w:r>
      <w:r w:rsidR="00173313">
        <w:rPr>
          <w:bCs/>
          <w:iCs/>
        </w:rPr>
        <w:t>provid</w:t>
      </w:r>
      <w:r w:rsidR="00400CC5" w:rsidRPr="00DF0208">
        <w:rPr>
          <w:bCs/>
          <w:iCs/>
        </w:rPr>
        <w:t>ed email address on the bidding documents for all companies.</w:t>
      </w:r>
    </w:p>
    <w:p w14:paraId="19CFA290" w14:textId="77777777" w:rsidR="003614D7" w:rsidRPr="00DF0208" w:rsidRDefault="003614D7" w:rsidP="00400CC5">
      <w:pPr>
        <w:ind w:left="630"/>
        <w:jc w:val="both"/>
        <w:rPr>
          <w:color w:val="000000"/>
          <w:spacing w:val="-2"/>
        </w:rPr>
      </w:pPr>
    </w:p>
    <w:p w14:paraId="2F91E600" w14:textId="06FDC46B" w:rsidR="00400CC5" w:rsidRPr="00DF0208" w:rsidRDefault="00867263" w:rsidP="00400CC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jc w:val="both"/>
        <w:rPr>
          <w:spacing w:val="-2"/>
        </w:rPr>
      </w:pPr>
      <w:r>
        <w:rPr>
          <w:color w:val="000000"/>
          <w:spacing w:val="-2"/>
          <w:lang w:val="ru-RU"/>
        </w:rPr>
        <w:lastRenderedPageBreak/>
        <w:t>7</w:t>
      </w:r>
      <w:r w:rsidR="00400CC5" w:rsidRPr="00DF0208">
        <w:rPr>
          <w:color w:val="000000"/>
          <w:spacing w:val="-2"/>
        </w:rPr>
        <w:t xml:space="preserve">. </w:t>
      </w:r>
      <w:r w:rsidR="00400CC5" w:rsidRPr="00DF0208">
        <w:rPr>
          <w:color w:val="000000"/>
          <w:spacing w:val="-2"/>
        </w:rPr>
        <w:tab/>
        <w:t xml:space="preserve">The bids must be delivered to the address below on or before </w:t>
      </w:r>
      <w:r w:rsidR="00563E1A">
        <w:rPr>
          <w:color w:val="000000"/>
          <w:spacing w:val="-2"/>
        </w:rPr>
        <w:t>January</w:t>
      </w:r>
      <w:r w:rsidR="00400CC5" w:rsidRPr="00DF0208">
        <w:rPr>
          <w:iCs/>
          <w:spacing w:val="-2"/>
        </w:rPr>
        <w:t xml:space="preserve"> </w:t>
      </w:r>
      <w:r w:rsidR="00E556A2">
        <w:rPr>
          <w:iCs/>
          <w:spacing w:val="-2"/>
        </w:rPr>
        <w:t>22</w:t>
      </w:r>
      <w:r w:rsidR="00400CC5" w:rsidRPr="00DF0208">
        <w:rPr>
          <w:iCs/>
          <w:spacing w:val="-2"/>
        </w:rPr>
        <w:t>, 202</w:t>
      </w:r>
      <w:r w:rsidR="00563E1A">
        <w:rPr>
          <w:iCs/>
          <w:spacing w:val="-2"/>
        </w:rPr>
        <w:t>5</w:t>
      </w:r>
      <w:r w:rsidR="00400CC5" w:rsidRPr="00DF0208">
        <w:rPr>
          <w:iCs/>
          <w:spacing w:val="-2"/>
          <w:lang w:val="tg-Cyrl-TJ"/>
        </w:rPr>
        <w:t xml:space="preserve"> </w:t>
      </w:r>
      <w:r w:rsidR="00400CC5" w:rsidRPr="00DF0208">
        <w:rPr>
          <w:iCs/>
          <w:spacing w:val="-2"/>
          <w:lang w:val="tr-TR"/>
        </w:rPr>
        <w:t>at 15.00 local time.</w:t>
      </w:r>
      <w:r w:rsidR="00400CC5" w:rsidRPr="00DF0208">
        <w:rPr>
          <w:color w:val="000000"/>
        </w:rPr>
        <w:t xml:space="preserve"> Electronic Bidding </w:t>
      </w:r>
      <w:r w:rsidR="00400CC5" w:rsidRPr="00DF0208">
        <w:rPr>
          <w:bCs/>
          <w:iCs/>
        </w:rPr>
        <w:t xml:space="preserve">will </w:t>
      </w:r>
      <w:r w:rsidR="00400CC5" w:rsidRPr="00DF0208">
        <w:rPr>
          <w:color w:val="000000"/>
        </w:rPr>
        <w:t>be not permitted.</w:t>
      </w:r>
      <w:r w:rsidR="00400CC5" w:rsidRPr="00DF0208">
        <w:rPr>
          <w:color w:val="000000"/>
          <w:spacing w:val="-2"/>
        </w:rPr>
        <w:t xml:space="preserve"> Late Bids will be rejected. Bids will be opened publicly in the presence of the Bidders’ designated representatives and anyone who chooses to attend at the address below. The online bid opening is not permitted. </w:t>
      </w:r>
    </w:p>
    <w:p w14:paraId="0B316346" w14:textId="4E3117CD" w:rsidR="00400CC5" w:rsidRPr="00DF0208" w:rsidRDefault="00867263" w:rsidP="00400CC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jc w:val="both"/>
        <w:rPr>
          <w:color w:val="000000"/>
          <w:spacing w:val="-2"/>
        </w:rPr>
      </w:pPr>
      <w:r>
        <w:rPr>
          <w:color w:val="000000"/>
          <w:spacing w:val="-2"/>
          <w:lang w:val="ru-RU"/>
        </w:rPr>
        <w:t>8</w:t>
      </w:r>
      <w:r w:rsidR="00400CC5" w:rsidRPr="00DF0208">
        <w:rPr>
          <w:color w:val="000000"/>
          <w:spacing w:val="-2"/>
        </w:rPr>
        <w:t xml:space="preserve">. </w:t>
      </w:r>
      <w:r w:rsidR="00400CC5" w:rsidRPr="00DF0208">
        <w:rPr>
          <w:color w:val="000000"/>
          <w:spacing w:val="-2"/>
        </w:rPr>
        <w:tab/>
        <w:t xml:space="preserve">All Bids must be accompanied by a </w:t>
      </w:r>
      <w:r w:rsidR="00400CC5" w:rsidRPr="00DF0208">
        <w:rPr>
          <w:b/>
          <w:i/>
          <w:iCs/>
          <w:color w:val="000000"/>
          <w:spacing w:val="-2"/>
        </w:rPr>
        <w:t>Bid Security</w:t>
      </w:r>
      <w:r w:rsidR="00400CC5" w:rsidRPr="00DF0208">
        <w:rPr>
          <w:i/>
          <w:iCs/>
          <w:color w:val="000000"/>
          <w:spacing w:val="-2"/>
        </w:rPr>
        <w:t xml:space="preserve"> </w:t>
      </w:r>
      <w:r w:rsidR="00400CC5" w:rsidRPr="00DF0208">
        <w:rPr>
          <w:color w:val="000000"/>
          <w:spacing w:val="-2"/>
        </w:rPr>
        <w:t xml:space="preserve">in the amount of </w:t>
      </w:r>
      <w:r w:rsidR="00117758" w:rsidRPr="00DF0208">
        <w:rPr>
          <w:i/>
          <w:color w:val="000000"/>
          <w:spacing w:val="-2"/>
          <w:lang w:val="en-US"/>
        </w:rPr>
        <w:t xml:space="preserve">2 860,00 </w:t>
      </w:r>
      <w:r w:rsidR="00400CC5" w:rsidRPr="00DF0208">
        <w:rPr>
          <w:i/>
          <w:color w:val="000000"/>
          <w:spacing w:val="-2"/>
        </w:rPr>
        <w:t>(</w:t>
      </w:r>
      <w:r w:rsidR="00117758" w:rsidRPr="00DF0208">
        <w:rPr>
          <w:i/>
          <w:color w:val="000000"/>
          <w:spacing w:val="-2"/>
          <w:lang w:val="en-US"/>
        </w:rPr>
        <w:t>two thousand eight hundred sixty</w:t>
      </w:r>
      <w:r w:rsidR="00400CC5" w:rsidRPr="00DF0208">
        <w:rPr>
          <w:i/>
          <w:color w:val="000000"/>
          <w:spacing w:val="-2"/>
        </w:rPr>
        <w:t xml:space="preserve">) US Dollars </w:t>
      </w:r>
      <w:r w:rsidR="00400CC5" w:rsidRPr="00DF0208">
        <w:t>or an equivalent amount in a freely convertible currency.</w:t>
      </w:r>
    </w:p>
    <w:p w14:paraId="00BA1CAC" w14:textId="3E8077D4" w:rsidR="00400CC5" w:rsidRPr="00DF0208" w:rsidRDefault="00867263" w:rsidP="00400CC5">
      <w:pPr>
        <w:ind w:left="630" w:hanging="630"/>
        <w:jc w:val="both"/>
        <w:rPr>
          <w:spacing w:val="-2"/>
          <w:lang w:val="en-US"/>
        </w:rPr>
      </w:pPr>
      <w:r w:rsidRPr="00867263">
        <w:rPr>
          <w:iCs/>
          <w:color w:val="000000"/>
          <w:spacing w:val="-2"/>
          <w:lang w:val="en-US"/>
        </w:rPr>
        <w:t>9</w:t>
      </w:r>
      <w:r w:rsidR="00400CC5" w:rsidRPr="00DF0208">
        <w:rPr>
          <w:iCs/>
          <w:color w:val="000000"/>
          <w:spacing w:val="-2"/>
        </w:rPr>
        <w:t>.</w:t>
      </w:r>
      <w:r w:rsidR="00400CC5" w:rsidRPr="00DF0208">
        <w:rPr>
          <w:iCs/>
          <w:color w:val="000000"/>
          <w:spacing w:val="-2"/>
        </w:rPr>
        <w:tab/>
      </w:r>
      <w:r w:rsidR="00400CC5" w:rsidRPr="00DF0208">
        <w:rPr>
          <w:spacing w:val="-2"/>
        </w:rPr>
        <w:t>“</w:t>
      </w:r>
      <w:r w:rsidR="00400CC5" w:rsidRPr="00DF0208">
        <w:rPr>
          <w:b/>
          <w:spacing w:val="-2"/>
        </w:rPr>
        <w:t>Attention is drawn to the Procurement Regulations requiring the Borrower to disclose information on the successful bidder’s beneficial ownership, as part of the Contract Award Notice, using the Beneficial Ownership Disclosure Form as included in the bidding document.</w:t>
      </w:r>
      <w:r w:rsidR="00400CC5" w:rsidRPr="00DF0208">
        <w:rPr>
          <w:spacing w:val="-2"/>
        </w:rPr>
        <w:t>”</w:t>
      </w:r>
    </w:p>
    <w:p w14:paraId="7EEA9459" w14:textId="77777777" w:rsidR="00400CC5" w:rsidRPr="00DF0208" w:rsidRDefault="00400CC5" w:rsidP="00400CC5">
      <w:pPr>
        <w:ind w:left="630" w:hanging="630"/>
        <w:jc w:val="both"/>
        <w:rPr>
          <w:iCs/>
          <w:color w:val="000000"/>
          <w:spacing w:val="-2"/>
          <w:lang w:val="en-US"/>
        </w:rPr>
      </w:pPr>
    </w:p>
    <w:p w14:paraId="0A00044E" w14:textId="0A62B766" w:rsidR="00111502" w:rsidRPr="00DF0208" w:rsidRDefault="00867263" w:rsidP="00400CC5">
      <w:pPr>
        <w:ind w:left="630" w:hanging="630"/>
        <w:jc w:val="both"/>
      </w:pPr>
      <w:r w:rsidRPr="00867263">
        <w:rPr>
          <w:iCs/>
          <w:color w:val="000000"/>
          <w:spacing w:val="-2"/>
          <w:lang w:val="en-US"/>
        </w:rPr>
        <w:t>10</w:t>
      </w:r>
      <w:r w:rsidR="00400CC5" w:rsidRPr="00DF0208">
        <w:rPr>
          <w:iCs/>
          <w:color w:val="000000"/>
          <w:spacing w:val="-2"/>
        </w:rPr>
        <w:t>.</w:t>
      </w:r>
      <w:r w:rsidR="00400CC5" w:rsidRPr="00DF0208">
        <w:rPr>
          <w:iCs/>
          <w:color w:val="000000"/>
          <w:spacing w:val="-2"/>
        </w:rPr>
        <w:tab/>
      </w:r>
      <w:r w:rsidR="00400CC5" w:rsidRPr="00DF0208">
        <w:rPr>
          <w:iCs/>
          <w:color w:val="000000"/>
        </w:rPr>
        <w:t>The address referred to above is</w:t>
      </w:r>
      <w:r w:rsidR="00400CC5" w:rsidRPr="00DF0208">
        <w:rPr>
          <w:lang w:val="en-GB"/>
        </w:rPr>
        <w:t xml:space="preserve">: The State Committee on Investments and State Property Management of the Republic of Tajikistan 27 </w:t>
      </w:r>
      <w:proofErr w:type="spellStart"/>
      <w:r w:rsidR="00400CC5" w:rsidRPr="00DF0208">
        <w:rPr>
          <w:lang w:val="en-GB"/>
        </w:rPr>
        <w:t>Shotemur</w:t>
      </w:r>
      <w:proofErr w:type="spellEnd"/>
      <w:r w:rsidR="00400CC5" w:rsidRPr="00DF0208">
        <w:rPr>
          <w:lang w:val="en-GB"/>
        </w:rPr>
        <w:t xml:space="preserve"> st</w:t>
      </w:r>
      <w:r w:rsidR="003614D7">
        <w:rPr>
          <w:lang w:val="en-GB"/>
        </w:rPr>
        <w:t>reet</w:t>
      </w:r>
      <w:r w:rsidR="00400CC5" w:rsidRPr="00DF0208">
        <w:rPr>
          <w:lang w:val="en-GB"/>
        </w:rPr>
        <w:t>,</w:t>
      </w:r>
      <w:r w:rsidR="00400CC5" w:rsidRPr="00DF0208">
        <w:t xml:space="preserve"> g</w:t>
      </w:r>
      <w:r w:rsidR="00400CC5" w:rsidRPr="00DF0208">
        <w:rPr>
          <w:lang w:val="en-GB"/>
        </w:rPr>
        <w:t>round floor, room 10</w:t>
      </w:r>
      <w:r w:rsidR="00400CC5" w:rsidRPr="00DF0208">
        <w:t xml:space="preserve">, </w:t>
      </w:r>
      <w:r w:rsidR="00400CC5" w:rsidRPr="00DF0208">
        <w:rPr>
          <w:lang w:val="en-GB"/>
        </w:rPr>
        <w:t>Dushanbe, Tajikistan</w:t>
      </w:r>
      <w:r w:rsidR="00400CC5" w:rsidRPr="00DF0208">
        <w:rPr>
          <w:lang w:val="tg-Cyrl-TJ"/>
        </w:rPr>
        <w:t>.</w:t>
      </w:r>
    </w:p>
    <w:sectPr w:rsidR="00111502" w:rsidRPr="00DF0208" w:rsidSect="00173313">
      <w:headerReference w:type="even" r:id="rId9"/>
      <w:headerReference w:type="default" r:id="rId10"/>
      <w:pgSz w:w="11906" w:h="16838" w:code="9"/>
      <w:pgMar w:top="0" w:right="850" w:bottom="993" w:left="1418"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E3095" w14:textId="77777777" w:rsidR="004030E6" w:rsidRDefault="004030E6" w:rsidP="00EF22D3">
      <w:r>
        <w:separator/>
      </w:r>
    </w:p>
  </w:endnote>
  <w:endnote w:type="continuationSeparator" w:id="0">
    <w:p w14:paraId="58964C96" w14:textId="77777777" w:rsidR="004030E6" w:rsidRDefault="004030E6" w:rsidP="00EF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C3D05" w14:textId="77777777" w:rsidR="004030E6" w:rsidRDefault="004030E6" w:rsidP="00EF22D3">
      <w:r>
        <w:separator/>
      </w:r>
    </w:p>
  </w:footnote>
  <w:footnote w:type="continuationSeparator" w:id="0">
    <w:p w14:paraId="7BF25CA7" w14:textId="77777777" w:rsidR="004030E6" w:rsidRDefault="004030E6" w:rsidP="00EF2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2DA75" w14:textId="66621468" w:rsidR="00BD1F74" w:rsidRPr="00A005CE" w:rsidRDefault="00FB5BFD" w:rsidP="007A6F14">
    <w:pPr>
      <w:pStyle w:val="a5"/>
      <w:framePr w:wrap="around" w:vAnchor="text" w:hAnchor="margin" w:xAlign="right" w:y="1"/>
      <w:rPr>
        <w:rStyle w:val="a4"/>
        <w:lang w:val="en-US"/>
      </w:rPr>
    </w:pPr>
    <w:r>
      <w:rPr>
        <w:rStyle w:val="a4"/>
      </w:rPr>
      <w:fldChar w:fldCharType="begin"/>
    </w:r>
    <w:r>
      <w:rPr>
        <w:rStyle w:val="a4"/>
      </w:rPr>
      <w:instrText>PAGE</w:instrText>
    </w:r>
    <w:r w:rsidRPr="00A005CE">
      <w:rPr>
        <w:rStyle w:val="a4"/>
        <w:lang w:val="en-US"/>
      </w:rPr>
      <w:instrText xml:space="preserve">  </w:instrText>
    </w:r>
    <w:r>
      <w:rPr>
        <w:rStyle w:val="a4"/>
      </w:rPr>
      <w:fldChar w:fldCharType="separate"/>
    </w:r>
    <w:r w:rsidR="007B481B" w:rsidRPr="00A005CE">
      <w:rPr>
        <w:rStyle w:val="a4"/>
        <w:noProof/>
        <w:lang w:val="en-US"/>
      </w:rPr>
      <w:t>1</w:t>
    </w:r>
    <w:r>
      <w:rPr>
        <w:rStyle w:val="a4"/>
      </w:rPr>
      <w:fldChar w:fldCharType="end"/>
    </w:r>
  </w:p>
  <w:p w14:paraId="59037AEF" w14:textId="77777777" w:rsidR="00BD1F74" w:rsidRPr="00A005CE" w:rsidRDefault="00FB5BFD" w:rsidP="007A6F14">
    <w:pPr>
      <w:pStyle w:val="a5"/>
      <w:pBdr>
        <w:bottom w:val="single" w:sz="6" w:space="1" w:color="auto"/>
      </w:pBdr>
      <w:tabs>
        <w:tab w:val="clear" w:pos="8640"/>
        <w:tab w:val="right" w:pos="9090"/>
      </w:tabs>
      <w:ind w:right="360"/>
      <w:rPr>
        <w:lang w:val="en-US"/>
      </w:rPr>
    </w:pPr>
    <w:r w:rsidRPr="00A005CE">
      <w:rPr>
        <w:lang w:val="en-US"/>
      </w:rPr>
      <w:tab/>
      <w:t xml:space="preserve">Appendix </w:t>
    </w:r>
    <w:r>
      <w:t xml:space="preserve">IV </w:t>
    </w:r>
    <w:r w:rsidRPr="00A005CE">
      <w:rPr>
        <w:lang w:val="en-US"/>
      </w:rPr>
      <w:tab/>
      <w:t>Small Appointments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9F7CF" w14:textId="77777777" w:rsidR="00BD1F74" w:rsidRPr="00043273" w:rsidRDefault="00BD1F74" w:rsidP="007A6F14">
    <w:pPr>
      <w:pStyle w:val="a5"/>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3803"/>
    <w:multiLevelType w:val="hybridMultilevel"/>
    <w:tmpl w:val="D0A84824"/>
    <w:lvl w:ilvl="0" w:tplc="04190019">
      <w:start w:val="1"/>
      <w:numFmt w:val="low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15:restartNumberingAfterBreak="0">
    <w:nsid w:val="0CF41799"/>
    <w:multiLevelType w:val="hybridMultilevel"/>
    <w:tmpl w:val="8EBE97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711536"/>
    <w:multiLevelType w:val="hybridMultilevel"/>
    <w:tmpl w:val="C45487D6"/>
    <w:lvl w:ilvl="0" w:tplc="0419001B">
      <w:start w:val="1"/>
      <w:numFmt w:val="low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F6E7D62"/>
    <w:multiLevelType w:val="hybridMultilevel"/>
    <w:tmpl w:val="D3DC5D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4F32C79"/>
    <w:multiLevelType w:val="multilevel"/>
    <w:tmpl w:val="351280A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5F54EAC"/>
    <w:multiLevelType w:val="multilevel"/>
    <w:tmpl w:val="D0FA90E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27477C5E"/>
    <w:multiLevelType w:val="hybridMultilevel"/>
    <w:tmpl w:val="E27EACB8"/>
    <w:lvl w:ilvl="0" w:tplc="041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33A33D61"/>
    <w:multiLevelType w:val="hybridMultilevel"/>
    <w:tmpl w:val="2CA0479E"/>
    <w:lvl w:ilvl="0" w:tplc="62E41C32">
      <w:start w:val="1"/>
      <w:numFmt w:val="decimal"/>
      <w:lvlText w:val="%1."/>
      <w:lvlJc w:val="left"/>
      <w:pPr>
        <w:ind w:left="990" w:hanging="63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D63C27"/>
    <w:multiLevelType w:val="hybridMultilevel"/>
    <w:tmpl w:val="D0A84824"/>
    <w:lvl w:ilvl="0" w:tplc="04190019">
      <w:start w:val="1"/>
      <w:numFmt w:val="low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15:restartNumberingAfterBreak="0">
    <w:nsid w:val="3B4B738F"/>
    <w:multiLevelType w:val="multilevel"/>
    <w:tmpl w:val="974CAF8C"/>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448020C0"/>
    <w:multiLevelType w:val="hybridMultilevel"/>
    <w:tmpl w:val="D0A84824"/>
    <w:lvl w:ilvl="0" w:tplc="04190019">
      <w:start w:val="1"/>
      <w:numFmt w:val="low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4B274EBD"/>
    <w:multiLevelType w:val="hybridMultilevel"/>
    <w:tmpl w:val="D46E0D6A"/>
    <w:lvl w:ilvl="0" w:tplc="041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A1184D"/>
    <w:multiLevelType w:val="hybridMultilevel"/>
    <w:tmpl w:val="3B360A40"/>
    <w:lvl w:ilvl="0" w:tplc="B9826466">
      <w:start w:val="1"/>
      <w:numFmt w:val="lowerLetter"/>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8B44684"/>
    <w:multiLevelType w:val="hybridMultilevel"/>
    <w:tmpl w:val="D124EDE2"/>
    <w:lvl w:ilvl="0" w:tplc="7256E190">
      <w:start w:val="1"/>
      <w:numFmt w:val="upperLetter"/>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A244310"/>
    <w:multiLevelType w:val="hybridMultilevel"/>
    <w:tmpl w:val="19ECE6F8"/>
    <w:lvl w:ilvl="0" w:tplc="9D7ACC64">
      <w:start w:val="1"/>
      <w:numFmt w:val="bullet"/>
      <w:pStyle w:val="a"/>
      <w:lvlText w:val=""/>
      <w:lvlJc w:val="left"/>
      <w:pPr>
        <w:ind w:left="1287"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EB4932"/>
    <w:multiLevelType w:val="multilevel"/>
    <w:tmpl w:val="7B943A2A"/>
    <w:lvl w:ilvl="0">
      <w:start w:val="8"/>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7D5753BE"/>
    <w:multiLevelType w:val="hybridMultilevel"/>
    <w:tmpl w:val="4554F58C"/>
    <w:lvl w:ilvl="0" w:tplc="9D7ACC64">
      <w:start w:val="1"/>
      <w:numFmt w:val="bullet"/>
      <w:lvlText w:val=""/>
      <w:lvlJc w:val="left"/>
      <w:pPr>
        <w:ind w:left="1287" w:hanging="360"/>
      </w:pPr>
      <w:rPr>
        <w:rFonts w:ascii="Symbol" w:hAnsi="Symbol" w:hint="default"/>
      </w:rPr>
    </w:lvl>
    <w:lvl w:ilvl="1" w:tplc="22B6EE90">
      <w:start w:val="1"/>
      <w:numFmt w:val="bullet"/>
      <w:lvlText w:val="o"/>
      <w:lvlJc w:val="left"/>
      <w:pPr>
        <w:ind w:left="2007" w:hanging="360"/>
      </w:pPr>
      <w:rPr>
        <w:rFonts w:ascii="Courier New" w:hAnsi="Courier New" w:cs="Courier New" w:hint="default"/>
      </w:rPr>
    </w:lvl>
    <w:lvl w:ilvl="2" w:tplc="A8C4D228">
      <w:start w:val="1"/>
      <w:numFmt w:val="bullet"/>
      <w:lvlText w:val=""/>
      <w:lvlJc w:val="left"/>
      <w:pPr>
        <w:ind w:left="2727" w:hanging="360"/>
      </w:pPr>
      <w:rPr>
        <w:rFonts w:ascii="Wingdings" w:hAnsi="Wingdings" w:hint="default"/>
      </w:rPr>
    </w:lvl>
    <w:lvl w:ilvl="3" w:tplc="CF8A9874" w:tentative="1">
      <w:start w:val="1"/>
      <w:numFmt w:val="bullet"/>
      <w:lvlText w:val=""/>
      <w:lvlJc w:val="left"/>
      <w:pPr>
        <w:ind w:left="3447" w:hanging="360"/>
      </w:pPr>
      <w:rPr>
        <w:rFonts w:ascii="Symbol" w:hAnsi="Symbol" w:hint="default"/>
      </w:rPr>
    </w:lvl>
    <w:lvl w:ilvl="4" w:tplc="2A44D8C2" w:tentative="1">
      <w:start w:val="1"/>
      <w:numFmt w:val="bullet"/>
      <w:lvlText w:val="o"/>
      <w:lvlJc w:val="left"/>
      <w:pPr>
        <w:ind w:left="4167" w:hanging="360"/>
      </w:pPr>
      <w:rPr>
        <w:rFonts w:ascii="Courier New" w:hAnsi="Courier New" w:cs="Courier New" w:hint="default"/>
      </w:rPr>
    </w:lvl>
    <w:lvl w:ilvl="5" w:tplc="34CE2620" w:tentative="1">
      <w:start w:val="1"/>
      <w:numFmt w:val="bullet"/>
      <w:lvlText w:val=""/>
      <w:lvlJc w:val="left"/>
      <w:pPr>
        <w:ind w:left="4887" w:hanging="360"/>
      </w:pPr>
      <w:rPr>
        <w:rFonts w:ascii="Wingdings" w:hAnsi="Wingdings" w:hint="default"/>
      </w:rPr>
    </w:lvl>
    <w:lvl w:ilvl="6" w:tplc="E9BA23DA" w:tentative="1">
      <w:start w:val="1"/>
      <w:numFmt w:val="bullet"/>
      <w:lvlText w:val=""/>
      <w:lvlJc w:val="left"/>
      <w:pPr>
        <w:ind w:left="5607" w:hanging="360"/>
      </w:pPr>
      <w:rPr>
        <w:rFonts w:ascii="Symbol" w:hAnsi="Symbol" w:hint="default"/>
      </w:rPr>
    </w:lvl>
    <w:lvl w:ilvl="7" w:tplc="AC304A64" w:tentative="1">
      <w:start w:val="1"/>
      <w:numFmt w:val="bullet"/>
      <w:lvlText w:val="o"/>
      <w:lvlJc w:val="left"/>
      <w:pPr>
        <w:ind w:left="6327" w:hanging="360"/>
      </w:pPr>
      <w:rPr>
        <w:rFonts w:ascii="Courier New" w:hAnsi="Courier New" w:cs="Courier New" w:hint="default"/>
      </w:rPr>
    </w:lvl>
    <w:lvl w:ilvl="8" w:tplc="47726BD0" w:tentative="1">
      <w:start w:val="1"/>
      <w:numFmt w:val="bullet"/>
      <w:lvlText w:val=""/>
      <w:lvlJc w:val="left"/>
      <w:pPr>
        <w:ind w:left="7047" w:hanging="360"/>
      </w:pPr>
      <w:rPr>
        <w:rFonts w:ascii="Wingdings" w:hAnsi="Wingdings" w:hint="default"/>
      </w:rPr>
    </w:lvl>
  </w:abstractNum>
  <w:num w:numId="1" w16cid:durableId="1490096303">
    <w:abstractNumId w:val="1"/>
  </w:num>
  <w:num w:numId="2" w16cid:durableId="1213661399">
    <w:abstractNumId w:val="4"/>
  </w:num>
  <w:num w:numId="3" w16cid:durableId="1549534384">
    <w:abstractNumId w:val="11"/>
  </w:num>
  <w:num w:numId="4" w16cid:durableId="1528758584">
    <w:abstractNumId w:val="15"/>
  </w:num>
  <w:num w:numId="5" w16cid:durableId="2033648230">
    <w:abstractNumId w:val="9"/>
  </w:num>
  <w:num w:numId="6" w16cid:durableId="1848980554">
    <w:abstractNumId w:val="3"/>
  </w:num>
  <w:num w:numId="7" w16cid:durableId="960571980">
    <w:abstractNumId w:val="16"/>
  </w:num>
  <w:num w:numId="8" w16cid:durableId="784157552">
    <w:abstractNumId w:val="14"/>
  </w:num>
  <w:num w:numId="9" w16cid:durableId="1897811043">
    <w:abstractNumId w:val="5"/>
  </w:num>
  <w:num w:numId="10" w16cid:durableId="712656405">
    <w:abstractNumId w:val="13"/>
  </w:num>
  <w:num w:numId="11" w16cid:durableId="352221067">
    <w:abstractNumId w:val="10"/>
  </w:num>
  <w:num w:numId="12" w16cid:durableId="761221027">
    <w:abstractNumId w:val="8"/>
  </w:num>
  <w:num w:numId="13" w16cid:durableId="2144805828">
    <w:abstractNumId w:val="6"/>
  </w:num>
  <w:num w:numId="14" w16cid:durableId="1932348510">
    <w:abstractNumId w:val="0"/>
  </w:num>
  <w:num w:numId="15" w16cid:durableId="2120105640">
    <w:abstractNumId w:val="2"/>
  </w:num>
  <w:num w:numId="16" w16cid:durableId="2058430550">
    <w:abstractNumId w:val="12"/>
  </w:num>
  <w:num w:numId="17" w16cid:durableId="4342516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0362"/>
    <w:rsid w:val="00007D95"/>
    <w:rsid w:val="000222B5"/>
    <w:rsid w:val="000224E3"/>
    <w:rsid w:val="0004453B"/>
    <w:rsid w:val="00050362"/>
    <w:rsid w:val="0007085A"/>
    <w:rsid w:val="00084072"/>
    <w:rsid w:val="00085E95"/>
    <w:rsid w:val="00094D2E"/>
    <w:rsid w:val="00096B44"/>
    <w:rsid w:val="000A797C"/>
    <w:rsid w:val="000B0023"/>
    <w:rsid w:val="000B3A28"/>
    <w:rsid w:val="000B4C9F"/>
    <w:rsid w:val="000B712B"/>
    <w:rsid w:val="000F7FD3"/>
    <w:rsid w:val="00111502"/>
    <w:rsid w:val="00113CC9"/>
    <w:rsid w:val="00117758"/>
    <w:rsid w:val="00121B15"/>
    <w:rsid w:val="00125ABD"/>
    <w:rsid w:val="00156184"/>
    <w:rsid w:val="0017008F"/>
    <w:rsid w:val="00171CC5"/>
    <w:rsid w:val="00173313"/>
    <w:rsid w:val="00173621"/>
    <w:rsid w:val="00175A2A"/>
    <w:rsid w:val="00176845"/>
    <w:rsid w:val="00182D1F"/>
    <w:rsid w:val="001929D7"/>
    <w:rsid w:val="00197508"/>
    <w:rsid w:val="001A47B4"/>
    <w:rsid w:val="001B2B14"/>
    <w:rsid w:val="001C3774"/>
    <w:rsid w:val="001F2C3A"/>
    <w:rsid w:val="00202017"/>
    <w:rsid w:val="00205A81"/>
    <w:rsid w:val="00210568"/>
    <w:rsid w:val="0021077A"/>
    <w:rsid w:val="00212460"/>
    <w:rsid w:val="0021727E"/>
    <w:rsid w:val="00255271"/>
    <w:rsid w:val="0026245F"/>
    <w:rsid w:val="002741C7"/>
    <w:rsid w:val="0028399E"/>
    <w:rsid w:val="00283F20"/>
    <w:rsid w:val="0029419A"/>
    <w:rsid w:val="002B719B"/>
    <w:rsid w:val="002C6BAE"/>
    <w:rsid w:val="002E3BE9"/>
    <w:rsid w:val="002F522D"/>
    <w:rsid w:val="00342D88"/>
    <w:rsid w:val="003614D7"/>
    <w:rsid w:val="00375DC3"/>
    <w:rsid w:val="00385E69"/>
    <w:rsid w:val="003D1B93"/>
    <w:rsid w:val="00400CC5"/>
    <w:rsid w:val="004030E6"/>
    <w:rsid w:val="0040560E"/>
    <w:rsid w:val="00423D15"/>
    <w:rsid w:val="00426AD3"/>
    <w:rsid w:val="0046670E"/>
    <w:rsid w:val="00473EA1"/>
    <w:rsid w:val="00493E48"/>
    <w:rsid w:val="004B35C8"/>
    <w:rsid w:val="004C28F8"/>
    <w:rsid w:val="004C47ED"/>
    <w:rsid w:val="004C7B86"/>
    <w:rsid w:val="004E022A"/>
    <w:rsid w:val="004E4A68"/>
    <w:rsid w:val="004E59DB"/>
    <w:rsid w:val="00501FD5"/>
    <w:rsid w:val="00507DC4"/>
    <w:rsid w:val="0053486C"/>
    <w:rsid w:val="00552113"/>
    <w:rsid w:val="00562279"/>
    <w:rsid w:val="00563E1A"/>
    <w:rsid w:val="00571588"/>
    <w:rsid w:val="00574B68"/>
    <w:rsid w:val="00645421"/>
    <w:rsid w:val="006601DD"/>
    <w:rsid w:val="00662009"/>
    <w:rsid w:val="006D30A2"/>
    <w:rsid w:val="006F188D"/>
    <w:rsid w:val="006F573C"/>
    <w:rsid w:val="00734549"/>
    <w:rsid w:val="007525CF"/>
    <w:rsid w:val="00763D52"/>
    <w:rsid w:val="007716B9"/>
    <w:rsid w:val="007A27C2"/>
    <w:rsid w:val="007A39BC"/>
    <w:rsid w:val="007B35C9"/>
    <w:rsid w:val="007B481B"/>
    <w:rsid w:val="007C395B"/>
    <w:rsid w:val="007E06C3"/>
    <w:rsid w:val="007E59D0"/>
    <w:rsid w:val="008429EE"/>
    <w:rsid w:val="00854DC4"/>
    <w:rsid w:val="00867263"/>
    <w:rsid w:val="008675D0"/>
    <w:rsid w:val="008A4831"/>
    <w:rsid w:val="00911D3E"/>
    <w:rsid w:val="009232CA"/>
    <w:rsid w:val="00926FEB"/>
    <w:rsid w:val="00935902"/>
    <w:rsid w:val="0094427B"/>
    <w:rsid w:val="0096758C"/>
    <w:rsid w:val="009768A4"/>
    <w:rsid w:val="00991AFD"/>
    <w:rsid w:val="0099413E"/>
    <w:rsid w:val="00994FCB"/>
    <w:rsid w:val="009C15AD"/>
    <w:rsid w:val="009D1167"/>
    <w:rsid w:val="009E1D44"/>
    <w:rsid w:val="009E6F69"/>
    <w:rsid w:val="00A005CE"/>
    <w:rsid w:val="00A034E9"/>
    <w:rsid w:val="00A23C58"/>
    <w:rsid w:val="00A3544D"/>
    <w:rsid w:val="00A73A10"/>
    <w:rsid w:val="00A75E90"/>
    <w:rsid w:val="00A77C61"/>
    <w:rsid w:val="00A81932"/>
    <w:rsid w:val="00A84536"/>
    <w:rsid w:val="00AB19E6"/>
    <w:rsid w:val="00AB6FD1"/>
    <w:rsid w:val="00AF0C8E"/>
    <w:rsid w:val="00AF14C5"/>
    <w:rsid w:val="00B03C1A"/>
    <w:rsid w:val="00B112EF"/>
    <w:rsid w:val="00B337DB"/>
    <w:rsid w:val="00B66C35"/>
    <w:rsid w:val="00B83D43"/>
    <w:rsid w:val="00B856FB"/>
    <w:rsid w:val="00B9222A"/>
    <w:rsid w:val="00B9384E"/>
    <w:rsid w:val="00BD1F74"/>
    <w:rsid w:val="00C00D85"/>
    <w:rsid w:val="00C46E91"/>
    <w:rsid w:val="00C8187F"/>
    <w:rsid w:val="00C83F94"/>
    <w:rsid w:val="00CC3EF3"/>
    <w:rsid w:val="00CF2277"/>
    <w:rsid w:val="00D22806"/>
    <w:rsid w:val="00D424F5"/>
    <w:rsid w:val="00D50739"/>
    <w:rsid w:val="00D5578B"/>
    <w:rsid w:val="00D6171F"/>
    <w:rsid w:val="00D80626"/>
    <w:rsid w:val="00D82C64"/>
    <w:rsid w:val="00DC59F6"/>
    <w:rsid w:val="00DC6F9A"/>
    <w:rsid w:val="00DF0208"/>
    <w:rsid w:val="00E25D71"/>
    <w:rsid w:val="00E3433C"/>
    <w:rsid w:val="00E556A2"/>
    <w:rsid w:val="00E8172A"/>
    <w:rsid w:val="00EF22D3"/>
    <w:rsid w:val="00EF5FFB"/>
    <w:rsid w:val="00F4041C"/>
    <w:rsid w:val="00F775D2"/>
    <w:rsid w:val="00F77622"/>
    <w:rsid w:val="00F77B9C"/>
    <w:rsid w:val="00FB4C69"/>
    <w:rsid w:val="00FB5531"/>
    <w:rsid w:val="00FB5BFD"/>
    <w:rsid w:val="00FD2B84"/>
    <w:rsid w:val="00FD4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22A2"/>
  <w15:docId w15:val="{B53C572D-37A8-472E-9348-D7CEF34E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50362"/>
    <w:pPr>
      <w:spacing w:after="0" w:line="240" w:lineRule="auto"/>
    </w:pPr>
    <w:rPr>
      <w:rFonts w:ascii="Times New Roman" w:eastAsia="Times New Roman" w:hAnsi="Times New Roman" w:cs="Times New Roman"/>
      <w:sz w:val="24"/>
      <w:szCs w:val="24"/>
    </w:rPr>
  </w:style>
  <w:style w:type="paragraph" w:styleId="1">
    <w:name w:val="heading 1"/>
    <w:basedOn w:val="a0"/>
    <w:next w:val="a0"/>
    <w:link w:val="10"/>
    <w:qFormat/>
    <w:rsid w:val="00574B68"/>
    <w:pPr>
      <w:keepNext/>
      <w:spacing w:before="360" w:after="120"/>
      <w:contextualSpacing/>
      <w:outlineLvl w:val="0"/>
    </w:pPr>
    <w:rPr>
      <w:rFonts w:ascii="Calibri" w:hAnsi="Calibri"/>
      <w:b/>
      <w:bCs/>
      <w:caps/>
      <w:spacing w:val="15"/>
      <w:sz w:val="32"/>
      <w:szCs w:val="22"/>
      <w:lang w:bidi="en-US"/>
    </w:rPr>
  </w:style>
  <w:style w:type="paragraph" w:styleId="2">
    <w:name w:val="heading 2"/>
    <w:basedOn w:val="a0"/>
    <w:next w:val="a0"/>
    <w:link w:val="20"/>
    <w:uiPriority w:val="9"/>
    <w:unhideWhenUsed/>
    <w:qFormat/>
    <w:rsid w:val="000B3A28"/>
    <w:pPr>
      <w:keepNext/>
      <w:keepLines/>
      <w:spacing w:before="40" w:line="264" w:lineRule="auto"/>
      <w:outlineLvl w:val="1"/>
    </w:pPr>
    <w:rPr>
      <w:rFonts w:asciiTheme="majorHAnsi" w:eastAsiaTheme="majorEastAsia" w:hAnsiTheme="majorHAnsi" w:cstheme="majorBidi"/>
      <w:color w:val="2F5496" w:themeColor="accent1" w:themeShade="BF"/>
      <w:sz w:val="26"/>
      <w:szCs w:val="26"/>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uiPriority w:val="99"/>
    <w:rsid w:val="00050362"/>
    <w:rPr>
      <w:rFonts w:cs="Times New Roman"/>
    </w:rPr>
  </w:style>
  <w:style w:type="paragraph" w:styleId="a5">
    <w:name w:val="header"/>
    <w:aliases w:val="Знак"/>
    <w:basedOn w:val="a0"/>
    <w:link w:val="a6"/>
    <w:uiPriority w:val="99"/>
    <w:rsid w:val="00050362"/>
    <w:pPr>
      <w:tabs>
        <w:tab w:val="center" w:pos="4320"/>
        <w:tab w:val="right" w:pos="8640"/>
      </w:tabs>
    </w:pPr>
    <w:rPr>
      <w:sz w:val="20"/>
      <w:szCs w:val="20"/>
    </w:rPr>
  </w:style>
  <w:style w:type="character" w:customStyle="1" w:styleId="a6">
    <w:name w:val="Верхний колонтитул Знак"/>
    <w:aliases w:val="Знак Знак"/>
    <w:basedOn w:val="a1"/>
    <w:link w:val="a5"/>
    <w:uiPriority w:val="99"/>
    <w:rsid w:val="00050362"/>
    <w:rPr>
      <w:rFonts w:ascii="Times New Roman" w:eastAsia="Times New Roman" w:hAnsi="Times New Roman" w:cs="Times New Roman"/>
      <w:sz w:val="20"/>
      <w:szCs w:val="20"/>
      <w:lang w:val="en"/>
    </w:rPr>
  </w:style>
  <w:style w:type="paragraph" w:styleId="a7">
    <w:name w:val="List Paragraph"/>
    <w:basedOn w:val="a0"/>
    <w:uiPriority w:val="34"/>
    <w:qFormat/>
    <w:rsid w:val="00050362"/>
    <w:pPr>
      <w:ind w:left="720"/>
    </w:pPr>
  </w:style>
  <w:style w:type="paragraph" w:styleId="a8">
    <w:name w:val="footer"/>
    <w:basedOn w:val="a0"/>
    <w:link w:val="a9"/>
    <w:uiPriority w:val="99"/>
    <w:rsid w:val="00050362"/>
    <w:pPr>
      <w:tabs>
        <w:tab w:val="center" w:pos="4680"/>
        <w:tab w:val="right" w:pos="9360"/>
      </w:tabs>
    </w:pPr>
  </w:style>
  <w:style w:type="character" w:customStyle="1" w:styleId="a9">
    <w:name w:val="Нижний колонтитул Знак"/>
    <w:basedOn w:val="a1"/>
    <w:link w:val="a8"/>
    <w:uiPriority w:val="99"/>
    <w:rsid w:val="00050362"/>
    <w:rPr>
      <w:rFonts w:ascii="Times New Roman" w:eastAsia="Times New Roman" w:hAnsi="Times New Roman" w:cs="Times New Roman"/>
      <w:sz w:val="24"/>
      <w:szCs w:val="24"/>
      <w:lang w:val="en"/>
    </w:rPr>
  </w:style>
  <w:style w:type="table" w:styleId="aa">
    <w:name w:val="Table Grid"/>
    <w:basedOn w:val="a2"/>
    <w:uiPriority w:val="39"/>
    <w:rsid w:val="00050362"/>
    <w:pPr>
      <w:spacing w:after="200" w:line="276"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Number">
    <w:name w:val="ChapterNumber"/>
    <w:rsid w:val="000F7FD3"/>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0F7FD3"/>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ab">
    <w:name w:val="Body Text"/>
    <w:basedOn w:val="a0"/>
    <w:link w:val="ac"/>
    <w:semiHidden/>
    <w:rsid w:val="000F7FD3"/>
    <w:pPr>
      <w:suppressAutoHyphens/>
    </w:pPr>
    <w:rPr>
      <w:rFonts w:ascii="CG Times" w:hAnsi="CG Times"/>
      <w:spacing w:val="-2"/>
      <w:szCs w:val="20"/>
    </w:rPr>
  </w:style>
  <w:style w:type="character" w:customStyle="1" w:styleId="ac">
    <w:name w:val="Основной текст Знак"/>
    <w:basedOn w:val="a1"/>
    <w:link w:val="ab"/>
    <w:semiHidden/>
    <w:rsid w:val="000F7FD3"/>
    <w:rPr>
      <w:rFonts w:ascii="CG Times" w:eastAsia="Times New Roman" w:hAnsi="CG Times" w:cs="Times New Roman"/>
      <w:spacing w:val="-2"/>
      <w:sz w:val="24"/>
      <w:szCs w:val="20"/>
      <w:lang w:val="en"/>
    </w:rPr>
  </w:style>
  <w:style w:type="character" w:styleId="ad">
    <w:name w:val="Hyperlink"/>
    <w:basedOn w:val="a1"/>
    <w:rsid w:val="00EF22D3"/>
    <w:rPr>
      <w:color w:val="0000FF"/>
      <w:u w:val="single"/>
    </w:rPr>
  </w:style>
  <w:style w:type="paragraph" w:styleId="ae">
    <w:name w:val="annotation text"/>
    <w:basedOn w:val="a0"/>
    <w:link w:val="af"/>
    <w:uiPriority w:val="99"/>
    <w:semiHidden/>
    <w:unhideWhenUsed/>
    <w:rsid w:val="00994FCB"/>
    <w:rPr>
      <w:sz w:val="20"/>
      <w:szCs w:val="20"/>
    </w:rPr>
  </w:style>
  <w:style w:type="character" w:customStyle="1" w:styleId="af">
    <w:name w:val="Текст примечания Знак"/>
    <w:basedOn w:val="a1"/>
    <w:link w:val="ae"/>
    <w:uiPriority w:val="99"/>
    <w:semiHidden/>
    <w:rsid w:val="00994FCB"/>
    <w:rPr>
      <w:rFonts w:ascii="Times New Roman" w:eastAsia="Times New Roman" w:hAnsi="Times New Roman" w:cs="Times New Roman"/>
      <w:sz w:val="20"/>
      <w:szCs w:val="20"/>
      <w:lang w:val="en"/>
    </w:rPr>
  </w:style>
  <w:style w:type="paragraph" w:styleId="af0">
    <w:name w:val="annotation subject"/>
    <w:basedOn w:val="ae"/>
    <w:next w:val="ae"/>
    <w:link w:val="af1"/>
    <w:uiPriority w:val="99"/>
    <w:semiHidden/>
    <w:rsid w:val="00994FCB"/>
    <w:pPr>
      <w:spacing w:before="120" w:after="120"/>
      <w:jc w:val="both"/>
    </w:pPr>
    <w:rPr>
      <w:rFonts w:ascii="Calibri" w:eastAsiaTheme="minorEastAsia" w:hAnsi="Calibri" w:cstheme="minorBidi"/>
      <w:b/>
      <w:bCs/>
      <w:lang w:eastAsia="en-GB" w:bidi="en-US"/>
    </w:rPr>
  </w:style>
  <w:style w:type="character" w:customStyle="1" w:styleId="af1">
    <w:name w:val="Тема примечания Знак"/>
    <w:basedOn w:val="af"/>
    <w:link w:val="af0"/>
    <w:uiPriority w:val="99"/>
    <w:semiHidden/>
    <w:rsid w:val="00994FCB"/>
    <w:rPr>
      <w:rFonts w:ascii="Calibri" w:eastAsiaTheme="minorEastAsia" w:hAnsi="Calibri" w:cs="Times New Roman"/>
      <w:b/>
      <w:bCs/>
      <w:sz w:val="20"/>
      <w:szCs w:val="20"/>
      <w:lang w:val="en" w:eastAsia="en-GB" w:bidi="en-US"/>
    </w:rPr>
  </w:style>
  <w:style w:type="paragraph" w:customStyle="1" w:styleId="Indent">
    <w:name w:val="Indent"/>
    <w:basedOn w:val="a0"/>
    <w:link w:val="IndentChar"/>
    <w:qFormat/>
    <w:rsid w:val="00994FCB"/>
    <w:pPr>
      <w:spacing w:before="120" w:after="120"/>
      <w:ind w:left="567"/>
      <w:jc w:val="both"/>
    </w:pPr>
    <w:rPr>
      <w:rFonts w:ascii="Calibri" w:eastAsiaTheme="minorEastAsia" w:hAnsi="Calibri" w:cs="TimesNewRomanPSMT"/>
      <w:szCs w:val="20"/>
      <w:lang w:eastAsia="en-GB"/>
    </w:rPr>
  </w:style>
  <w:style w:type="paragraph" w:styleId="af2">
    <w:name w:val="No Spacing"/>
    <w:uiPriority w:val="1"/>
    <w:qFormat/>
    <w:rsid w:val="00994FCB"/>
    <w:pPr>
      <w:spacing w:after="0" w:line="240" w:lineRule="auto"/>
    </w:pPr>
    <w:rPr>
      <w:rFonts w:ascii="Times New Roman" w:eastAsia="Times New Roman" w:hAnsi="Times New Roman" w:cs="Times New Roman"/>
      <w:sz w:val="24"/>
      <w:szCs w:val="24"/>
    </w:rPr>
  </w:style>
  <w:style w:type="character" w:customStyle="1" w:styleId="IndentChar">
    <w:name w:val="Indent Char"/>
    <w:basedOn w:val="a1"/>
    <w:link w:val="Indent"/>
    <w:rsid w:val="00B9222A"/>
    <w:rPr>
      <w:rFonts w:ascii="Calibri" w:eastAsiaTheme="minorEastAsia" w:hAnsi="Calibri" w:cs="TimesNewRomanPSMT"/>
      <w:sz w:val="24"/>
      <w:szCs w:val="20"/>
      <w:lang w:val="en" w:eastAsia="en-GB"/>
    </w:rPr>
  </w:style>
  <w:style w:type="paragraph" w:styleId="a">
    <w:name w:val="Normal Indent"/>
    <w:basedOn w:val="a0"/>
    <w:qFormat/>
    <w:rsid w:val="00574B68"/>
    <w:pPr>
      <w:numPr>
        <w:numId w:val="8"/>
      </w:numPr>
      <w:tabs>
        <w:tab w:val="left" w:pos="1276"/>
      </w:tabs>
      <w:spacing w:before="100" w:after="100"/>
    </w:pPr>
    <w:rPr>
      <w:rFonts w:asciiTheme="minorHAnsi" w:eastAsiaTheme="minorHAnsi" w:hAnsiTheme="minorHAnsi" w:cstheme="minorBidi"/>
      <w:sz w:val="22"/>
      <w:lang w:eastAsia="en-GB"/>
    </w:rPr>
  </w:style>
  <w:style w:type="character" w:customStyle="1" w:styleId="10">
    <w:name w:val="Заголовок 1 Знак"/>
    <w:basedOn w:val="a1"/>
    <w:link w:val="1"/>
    <w:rsid w:val="00574B68"/>
    <w:rPr>
      <w:rFonts w:ascii="Calibri" w:eastAsia="Times New Roman" w:hAnsi="Calibri" w:cs="Times New Roman"/>
      <w:b/>
      <w:bCs/>
      <w:caps/>
      <w:spacing w:val="15"/>
      <w:sz w:val="32"/>
      <w:lang w:val="en" w:bidi="en-US"/>
    </w:rPr>
  </w:style>
  <w:style w:type="character" w:customStyle="1" w:styleId="20">
    <w:name w:val="Заголовок 2 Знак"/>
    <w:basedOn w:val="a1"/>
    <w:link w:val="2"/>
    <w:uiPriority w:val="9"/>
    <w:rsid w:val="000B3A28"/>
    <w:rPr>
      <w:rFonts w:asciiTheme="majorHAnsi" w:eastAsiaTheme="majorEastAsia" w:hAnsiTheme="majorHAnsi" w:cstheme="majorBidi"/>
      <w:color w:val="2F5496" w:themeColor="accent1" w:themeShade="BF"/>
      <w:sz w:val="26"/>
      <w:szCs w:val="26"/>
      <w:lang w:val="ru-RU"/>
    </w:rPr>
  </w:style>
  <w:style w:type="character" w:customStyle="1" w:styleId="11">
    <w:name w:val="Неразрешенное упоминание1"/>
    <w:basedOn w:val="a1"/>
    <w:uiPriority w:val="99"/>
    <w:semiHidden/>
    <w:unhideWhenUsed/>
    <w:rsid w:val="00FB5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032887">
      <w:bodyDiv w:val="1"/>
      <w:marLeft w:val="0"/>
      <w:marRight w:val="0"/>
      <w:marTop w:val="0"/>
      <w:marBottom w:val="0"/>
      <w:divBdr>
        <w:top w:val="none" w:sz="0" w:space="0" w:color="auto"/>
        <w:left w:val="none" w:sz="0" w:space="0" w:color="auto"/>
        <w:bottom w:val="none" w:sz="0" w:space="0" w:color="auto"/>
        <w:right w:val="none" w:sz="0" w:space="0" w:color="auto"/>
      </w:divBdr>
    </w:div>
    <w:div w:id="792290929">
      <w:bodyDiv w:val="1"/>
      <w:marLeft w:val="0"/>
      <w:marRight w:val="0"/>
      <w:marTop w:val="0"/>
      <w:marBottom w:val="0"/>
      <w:divBdr>
        <w:top w:val="none" w:sz="0" w:space="0" w:color="auto"/>
        <w:left w:val="none" w:sz="0" w:space="0" w:color="auto"/>
        <w:bottom w:val="none" w:sz="0" w:space="0" w:color="auto"/>
        <w:right w:val="none" w:sz="0" w:space="0" w:color="auto"/>
      </w:divBdr>
    </w:div>
    <w:div w:id="959385938">
      <w:bodyDiv w:val="1"/>
      <w:marLeft w:val="0"/>
      <w:marRight w:val="0"/>
      <w:marTop w:val="0"/>
      <w:marBottom w:val="0"/>
      <w:divBdr>
        <w:top w:val="none" w:sz="0" w:space="0" w:color="auto"/>
        <w:left w:val="none" w:sz="0" w:space="0" w:color="auto"/>
        <w:bottom w:val="none" w:sz="0" w:space="0" w:color="auto"/>
        <w:right w:val="none" w:sz="0" w:space="0" w:color="auto"/>
      </w:divBdr>
    </w:div>
    <w:div w:id="1167595703">
      <w:bodyDiv w:val="1"/>
      <w:marLeft w:val="0"/>
      <w:marRight w:val="0"/>
      <w:marTop w:val="0"/>
      <w:marBottom w:val="0"/>
      <w:divBdr>
        <w:top w:val="none" w:sz="0" w:space="0" w:color="auto"/>
        <w:left w:val="none" w:sz="0" w:space="0" w:color="auto"/>
        <w:bottom w:val="none" w:sz="0" w:space="0" w:color="auto"/>
        <w:right w:val="none" w:sz="0" w:space="0" w:color="auto"/>
      </w:divBdr>
    </w:div>
    <w:div w:id="1515218414">
      <w:bodyDiv w:val="1"/>
      <w:marLeft w:val="0"/>
      <w:marRight w:val="0"/>
      <w:marTop w:val="0"/>
      <w:marBottom w:val="0"/>
      <w:divBdr>
        <w:top w:val="none" w:sz="0" w:space="0" w:color="auto"/>
        <w:left w:val="none" w:sz="0" w:space="0" w:color="auto"/>
        <w:bottom w:val="none" w:sz="0" w:space="0" w:color="auto"/>
        <w:right w:val="none" w:sz="0" w:space="0" w:color="auto"/>
      </w:divBdr>
    </w:div>
    <w:div w:id="174857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hom_nozimov@mail.ru" TargetMode="External"/><Relationship Id="rId3" Type="http://schemas.openxmlformats.org/officeDocument/2006/relationships/settings" Target="settings.xml"/><Relationship Id="rId7" Type="http://schemas.openxmlformats.org/officeDocument/2006/relationships/hyperlink" Target="http://www.worldbank.org/html/opr/procure/guidel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2</Pages>
  <Words>529</Words>
  <Characters>3021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Firuz</cp:lastModifiedBy>
  <cp:revision>95</cp:revision>
  <cp:lastPrinted>2024-10-10T14:01:00Z</cp:lastPrinted>
  <dcterms:created xsi:type="dcterms:W3CDTF">2023-10-23T09:47:00Z</dcterms:created>
  <dcterms:modified xsi:type="dcterms:W3CDTF">2025-01-06T10:26:00Z</dcterms:modified>
</cp:coreProperties>
</file>