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90" w:type="dxa"/>
        <w:tblInd w:w="-635" w:type="dxa"/>
        <w:tblLook w:val="04A0" w:firstRow="1" w:lastRow="0" w:firstColumn="1" w:lastColumn="0" w:noHBand="0" w:noVBand="1"/>
      </w:tblPr>
      <w:tblGrid>
        <w:gridCol w:w="554"/>
        <w:gridCol w:w="3646"/>
        <w:gridCol w:w="3292"/>
        <w:gridCol w:w="1958"/>
        <w:gridCol w:w="1440"/>
        <w:gridCol w:w="2340"/>
        <w:gridCol w:w="2160"/>
      </w:tblGrid>
      <w:tr w:rsidR="00490805" w:rsidRPr="00916D44" w14:paraId="6A1DC1A6" w14:textId="77777777" w:rsidTr="00490805">
        <w:trPr>
          <w:trHeight w:val="416"/>
        </w:trPr>
        <w:tc>
          <w:tcPr>
            <w:tcW w:w="554" w:type="dxa"/>
            <w:shd w:val="clear" w:color="auto" w:fill="FFC000"/>
          </w:tcPr>
          <w:p w14:paraId="2888284E" w14:textId="77777777" w:rsidR="00490805" w:rsidRPr="00C20D73" w:rsidRDefault="00490805" w:rsidP="00C20D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6" w:type="dxa"/>
            <w:gridSpan w:val="6"/>
            <w:shd w:val="clear" w:color="auto" w:fill="FFC000"/>
          </w:tcPr>
          <w:p w14:paraId="3272D51B" w14:textId="77777777" w:rsidR="00490805" w:rsidRPr="00765846" w:rsidRDefault="00490805" w:rsidP="00C20D73">
            <w:pPr>
              <w:rPr>
                <w:b/>
                <w:bCs/>
                <w:sz w:val="20"/>
                <w:szCs w:val="20"/>
              </w:rPr>
            </w:pPr>
            <w:r w:rsidRPr="00C20D73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916D44">
              <w:rPr>
                <w:b/>
                <w:bCs/>
                <w:sz w:val="20"/>
                <w:szCs w:val="20"/>
              </w:rPr>
              <w:t>РАЗДЕЛ I:</w:t>
            </w:r>
            <w:r w:rsidRPr="00916D44">
              <w:rPr>
                <w:sz w:val="20"/>
                <w:szCs w:val="20"/>
              </w:rPr>
              <w:t xml:space="preserve"> </w:t>
            </w:r>
            <w:r w:rsidRPr="00916D44">
              <w:rPr>
                <w:b/>
                <w:bCs/>
                <w:sz w:val="20"/>
                <w:szCs w:val="20"/>
              </w:rPr>
              <w:t xml:space="preserve">ТЕХНИЧЕСКИЕ СПЕЦИФИКАЦИИ И ЦЕНОВОЕ ПРЕДЛОЖЕНИЕ                       </w:t>
            </w:r>
            <w:r w:rsidRPr="00490805">
              <w:rPr>
                <w:b/>
                <w:sz w:val="20"/>
                <w:szCs w:val="20"/>
              </w:rPr>
              <w:t>RFQ – USAID/HMHB – 024</w:t>
            </w:r>
          </w:p>
        </w:tc>
      </w:tr>
      <w:tr w:rsidR="00490805" w:rsidRPr="00916D44" w14:paraId="6315A935" w14:textId="77777777" w:rsidTr="00490805">
        <w:trPr>
          <w:trHeight w:val="593"/>
        </w:trPr>
        <w:tc>
          <w:tcPr>
            <w:tcW w:w="554" w:type="dxa"/>
          </w:tcPr>
          <w:p w14:paraId="4792DDE6" w14:textId="27C10024" w:rsidR="00490805" w:rsidRDefault="00490805" w:rsidP="00487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3646" w:type="dxa"/>
            <w:hideMark/>
          </w:tcPr>
          <w:p w14:paraId="5DD70317" w14:textId="0A7F0FEE" w:rsidR="00490805" w:rsidRPr="00916D44" w:rsidRDefault="00490805" w:rsidP="00487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916D44">
              <w:rPr>
                <w:b/>
                <w:bCs/>
                <w:sz w:val="20"/>
                <w:szCs w:val="20"/>
              </w:rPr>
              <w:t>еречень</w:t>
            </w:r>
            <w:r>
              <w:rPr>
                <w:b/>
                <w:bCs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3292" w:type="dxa"/>
          </w:tcPr>
          <w:p w14:paraId="2617D725" w14:textId="26A5032A" w:rsidR="00490805" w:rsidRPr="00916D44" w:rsidRDefault="00490805" w:rsidP="00487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Технические спецификации</w:t>
            </w:r>
            <w:r>
              <w:rPr>
                <w:b/>
                <w:bCs/>
                <w:sz w:val="20"/>
                <w:szCs w:val="20"/>
              </w:rPr>
              <w:t xml:space="preserve">/характеристики </w:t>
            </w:r>
          </w:p>
        </w:tc>
        <w:tc>
          <w:tcPr>
            <w:tcW w:w="1958" w:type="dxa"/>
          </w:tcPr>
          <w:p w14:paraId="02FFCA76" w14:textId="7018F765" w:rsidR="00490805" w:rsidRPr="00916D44" w:rsidRDefault="00490805" w:rsidP="00487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noWrap/>
            <w:hideMark/>
          </w:tcPr>
          <w:p w14:paraId="2A06C432" w14:textId="77777777" w:rsidR="00490805" w:rsidRPr="00916D44" w:rsidRDefault="00490805" w:rsidP="00487BB0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2340" w:type="dxa"/>
            <w:hideMark/>
          </w:tcPr>
          <w:p w14:paraId="60A175E6" w14:textId="5F9DD115" w:rsidR="00490805" w:rsidRPr="00916D44" w:rsidRDefault="00490805" w:rsidP="00490805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Цена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6D44">
              <w:rPr>
                <w:b/>
                <w:bCs/>
                <w:sz w:val="20"/>
                <w:szCs w:val="20"/>
              </w:rPr>
              <w:t xml:space="preserve">(за единицу) </w:t>
            </w:r>
            <w:r>
              <w:rPr>
                <w:b/>
                <w:bCs/>
                <w:sz w:val="20"/>
                <w:szCs w:val="20"/>
              </w:rPr>
              <w:t>сомони</w:t>
            </w:r>
          </w:p>
        </w:tc>
        <w:tc>
          <w:tcPr>
            <w:tcW w:w="2160" w:type="dxa"/>
          </w:tcPr>
          <w:p w14:paraId="0D531816" w14:textId="52EB67EA" w:rsidR="00490805" w:rsidRPr="00843900" w:rsidRDefault="00490805" w:rsidP="00487BB0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цена общая (</w:t>
            </w:r>
            <w:r>
              <w:rPr>
                <w:b/>
                <w:bCs/>
                <w:sz w:val="20"/>
                <w:szCs w:val="20"/>
              </w:rPr>
              <w:t>сомони</w:t>
            </w:r>
            <w:r w:rsidRPr="00916D4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90805" w:rsidRPr="00916D44" w14:paraId="100EFE21" w14:textId="77777777" w:rsidTr="00490805">
        <w:trPr>
          <w:trHeight w:val="60"/>
        </w:trPr>
        <w:tc>
          <w:tcPr>
            <w:tcW w:w="554" w:type="dxa"/>
          </w:tcPr>
          <w:p w14:paraId="05015866" w14:textId="1AC643BF" w:rsidR="00490805" w:rsidRPr="00311BD2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02E8" w14:textId="384C6405" w:rsidR="00490805" w:rsidRPr="008E4C6B" w:rsidRDefault="00490805" w:rsidP="00152AA6">
            <w:pPr>
              <w:rPr>
                <w:b/>
                <w:bCs/>
                <w:sz w:val="20"/>
                <w:szCs w:val="20"/>
                <w:lang w:val="tg-Cyrl-TJ"/>
              </w:rPr>
            </w:pPr>
            <w:r>
              <w:rPr>
                <w:rFonts w:ascii="Calibri" w:hAnsi="Calibri" w:cs="Calibri"/>
                <w:color w:val="000000"/>
              </w:rPr>
              <w:t>Цемент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2B8" w14:textId="23771F2D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М500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5334" w14:textId="659FF90A" w:rsidR="00490805" w:rsidRPr="00065120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E355" w14:textId="4521DE0F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4000</w:t>
            </w:r>
          </w:p>
        </w:tc>
        <w:tc>
          <w:tcPr>
            <w:tcW w:w="2340" w:type="dxa"/>
            <w:noWrap/>
          </w:tcPr>
          <w:p w14:paraId="1A6A0DDF" w14:textId="7457AD0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763FFE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78193C9" w14:textId="77777777" w:rsidTr="00490805">
        <w:trPr>
          <w:trHeight w:val="89"/>
        </w:trPr>
        <w:tc>
          <w:tcPr>
            <w:tcW w:w="554" w:type="dxa"/>
          </w:tcPr>
          <w:p w14:paraId="6E0C5B7F" w14:textId="4321B181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7AD" w14:textId="65A5F55F" w:rsidR="00490805" w:rsidRPr="00765846" w:rsidRDefault="00490805" w:rsidP="00152AA6">
            <w:pPr>
              <w:rPr>
                <w:rStyle w:val="eop"/>
                <w:rFonts w:asciiTheme="minorBidi" w:hAnsiTheme="min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арматура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170" w14:textId="2BF3CEAD" w:rsidR="00490805" w:rsidRDefault="00490805" w:rsidP="00152AA6">
            <w:pPr>
              <w:ind w:left="1441" w:hanging="14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диаметр россия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175" w14:textId="3F50AEBB" w:rsidR="00490805" w:rsidRPr="00E25E4E" w:rsidRDefault="00490805" w:rsidP="00152AA6">
            <w:pPr>
              <w:ind w:left="1441" w:hanging="144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67D9" w14:textId="154C0823" w:rsidR="00490805" w:rsidRPr="00843900" w:rsidRDefault="00490805" w:rsidP="00152A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2340" w:type="dxa"/>
            <w:noWrap/>
          </w:tcPr>
          <w:p w14:paraId="33FBE19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F8D9DEC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1CF1445" w14:textId="77777777" w:rsidTr="00490805">
        <w:trPr>
          <w:trHeight w:val="60"/>
        </w:trPr>
        <w:tc>
          <w:tcPr>
            <w:tcW w:w="554" w:type="dxa"/>
          </w:tcPr>
          <w:p w14:paraId="26CF84EA" w14:textId="7EA387C3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C85F" w14:textId="2AC32A62" w:rsidR="00490805" w:rsidRPr="00765846" w:rsidRDefault="00490805" w:rsidP="00152AA6">
            <w:pPr>
              <w:rPr>
                <w:rStyle w:val="eop"/>
                <w:rFonts w:asciiTheme="minorBidi" w:hAnsiTheme="min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прут металлический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2BF" w14:textId="76EFF551" w:rsidR="00490805" w:rsidRDefault="00490805" w:rsidP="00152AA6">
            <w:pPr>
              <w:ind w:left="1441" w:hanging="14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6мм диаметра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34D" w14:textId="20E0F624" w:rsidR="00490805" w:rsidRPr="00680557" w:rsidRDefault="00490805" w:rsidP="00152AA6">
            <w:pPr>
              <w:ind w:left="1441" w:hanging="144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A30E" w14:textId="714F8B3B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2340" w:type="dxa"/>
            <w:noWrap/>
          </w:tcPr>
          <w:p w14:paraId="5A8A380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85A91D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768A0151" w14:textId="77777777" w:rsidTr="00490805">
        <w:trPr>
          <w:trHeight w:val="60"/>
        </w:trPr>
        <w:tc>
          <w:tcPr>
            <w:tcW w:w="554" w:type="dxa"/>
          </w:tcPr>
          <w:p w14:paraId="6B41D607" w14:textId="629C453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A86D" w14:textId="1C3DC885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цементный блок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7651" w14:textId="69FF01D1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цемблок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4E5D" w14:textId="139D5391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2DC9" w14:textId="159BA25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1600</w:t>
            </w:r>
          </w:p>
        </w:tc>
        <w:tc>
          <w:tcPr>
            <w:tcW w:w="2340" w:type="dxa"/>
            <w:noWrap/>
          </w:tcPr>
          <w:p w14:paraId="226E565B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F3AED5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24D98A6A" w14:textId="77777777" w:rsidTr="00490805">
        <w:trPr>
          <w:trHeight w:val="60"/>
        </w:trPr>
        <w:tc>
          <w:tcPr>
            <w:tcW w:w="554" w:type="dxa"/>
          </w:tcPr>
          <w:p w14:paraId="1BD86BB0" w14:textId="201929A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F8EE" w14:textId="094264C5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кирпич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105" w14:textId="76F5B1A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жженный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EE" w14:textId="0EAFB41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2096" w14:textId="059C4041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2000</w:t>
            </w:r>
          </w:p>
        </w:tc>
        <w:tc>
          <w:tcPr>
            <w:tcW w:w="2340" w:type="dxa"/>
            <w:noWrap/>
          </w:tcPr>
          <w:p w14:paraId="2B250950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E30E5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1B57DFCE" w14:textId="77777777" w:rsidTr="00490805">
        <w:trPr>
          <w:trHeight w:val="60"/>
        </w:trPr>
        <w:tc>
          <w:tcPr>
            <w:tcW w:w="554" w:type="dxa"/>
          </w:tcPr>
          <w:p w14:paraId="6E6C1A4E" w14:textId="006096A3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1AF8" w14:textId="532093DC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Доски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BBD0" w14:textId="4AAE124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40мм 15 см ширина, 6 метр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8705" w14:textId="5659C10C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8602" w14:textId="4C4FD57B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340" w:type="dxa"/>
            <w:noWrap/>
          </w:tcPr>
          <w:p w14:paraId="157AE79A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13AF80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7A4E22C" w14:textId="77777777" w:rsidTr="00490805">
        <w:trPr>
          <w:trHeight w:val="60"/>
        </w:trPr>
        <w:tc>
          <w:tcPr>
            <w:tcW w:w="554" w:type="dxa"/>
          </w:tcPr>
          <w:p w14:paraId="3631983D" w14:textId="147F94F4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ED9" w14:textId="23D544E7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рейка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9CC" w14:textId="12FF7B12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30х40мм 6 метр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A2" w14:textId="2DBDADA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22A8" w14:textId="60BB643D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noWrap/>
          </w:tcPr>
          <w:p w14:paraId="1D937AF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DE06FAE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450488B" w14:textId="77777777" w:rsidTr="00490805">
        <w:trPr>
          <w:trHeight w:val="60"/>
        </w:trPr>
        <w:tc>
          <w:tcPr>
            <w:tcW w:w="554" w:type="dxa"/>
          </w:tcPr>
          <w:p w14:paraId="36076983" w14:textId="7D820EC8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32A" w14:textId="47C10D9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кровельный лист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2DB" w14:textId="6E21162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 0,37мм 4 метровый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487" w14:textId="10015513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8297" w14:textId="1E29765F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340" w:type="dxa"/>
            <w:noWrap/>
          </w:tcPr>
          <w:p w14:paraId="116FD9DD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05ADC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BA70091" w14:textId="77777777" w:rsidTr="00490805">
        <w:trPr>
          <w:trHeight w:val="60"/>
        </w:trPr>
        <w:tc>
          <w:tcPr>
            <w:tcW w:w="554" w:type="dxa"/>
          </w:tcPr>
          <w:p w14:paraId="05EAD133" w14:textId="017E1B6F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E1D" w14:textId="54321744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желоб 4 метровый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CCA" w14:textId="065B2A30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водосток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4EE" w14:textId="37AEE46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69B7" w14:textId="4B7CADEA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340" w:type="dxa"/>
            <w:noWrap/>
          </w:tcPr>
          <w:p w14:paraId="168589F8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0AA59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3A9A5DB6" w14:textId="77777777" w:rsidTr="00490805">
        <w:trPr>
          <w:trHeight w:val="60"/>
        </w:trPr>
        <w:tc>
          <w:tcPr>
            <w:tcW w:w="554" w:type="dxa"/>
          </w:tcPr>
          <w:p w14:paraId="017AFF00" w14:textId="378F3EB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4C35" w14:textId="20B37042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финишная отделка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01F" w14:textId="726E3572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шпатлевка внутренняя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89B7" w14:textId="0928BED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мешок 25кг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E51C" w14:textId="7B2D962A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3F161C6B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4D0605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255A0D61" w14:textId="77777777" w:rsidTr="00490805">
        <w:trPr>
          <w:trHeight w:val="60"/>
        </w:trPr>
        <w:tc>
          <w:tcPr>
            <w:tcW w:w="554" w:type="dxa"/>
          </w:tcPr>
          <w:p w14:paraId="7C37242D" w14:textId="3428F4B9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583" w14:textId="1EE664AD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финишная отделка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59D" w14:textId="0905579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шуба наружная бежевая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378" w14:textId="1EE6D09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ведро 20кг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DD7A" w14:textId="17DC996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340" w:type="dxa"/>
            <w:noWrap/>
          </w:tcPr>
          <w:p w14:paraId="3D8D66F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B3DCCE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64A3583D" w14:textId="77777777" w:rsidTr="00490805">
        <w:trPr>
          <w:trHeight w:val="60"/>
        </w:trPr>
        <w:tc>
          <w:tcPr>
            <w:tcW w:w="554" w:type="dxa"/>
          </w:tcPr>
          <w:p w14:paraId="4B7D7917" w14:textId="370FA564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35A8" w14:textId="07B10C61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Окно с москитной сеткой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293" w14:textId="2EC9DD5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ш/в 100х50см пластик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40C1" w14:textId="04F5E3E1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F3F8" w14:textId="6833F1F2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7F725259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E17B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D7198DA" w14:textId="77777777" w:rsidTr="00490805">
        <w:trPr>
          <w:trHeight w:val="60"/>
        </w:trPr>
        <w:tc>
          <w:tcPr>
            <w:tcW w:w="554" w:type="dxa"/>
          </w:tcPr>
          <w:p w14:paraId="3350F503" w14:textId="0FC38A4D" w:rsidR="00490805" w:rsidRPr="00CC7DD4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52E0" w14:textId="2E349C5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Окно с москитной сеткой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D72" w14:textId="63F7B1C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ш/в 50х30см пластик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2C99" w14:textId="2BD5CE7F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BF87" w14:textId="445FA219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430B5EA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3A365C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7B0F059A" w14:textId="77777777" w:rsidTr="00490805">
        <w:trPr>
          <w:trHeight w:val="60"/>
        </w:trPr>
        <w:tc>
          <w:tcPr>
            <w:tcW w:w="554" w:type="dxa"/>
          </w:tcPr>
          <w:p w14:paraId="47837885" w14:textId="412C9BE3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4EB3" w14:textId="335D6FF2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Двери входные пластик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967" w14:textId="260D6F5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ширина 90см, высота 200см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EE57" w14:textId="23DA6942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33C2" w14:textId="0D04CA1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1A505D24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11E26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A41C5B5" w14:textId="77777777" w:rsidTr="00490805">
        <w:trPr>
          <w:trHeight w:val="60"/>
        </w:trPr>
        <w:tc>
          <w:tcPr>
            <w:tcW w:w="554" w:type="dxa"/>
          </w:tcPr>
          <w:p w14:paraId="00CAB656" w14:textId="2F00C116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B02" w14:textId="229C6A5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Двери для кабинок пластик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04" w14:textId="6C74877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ширина 70см, высота 200см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3DA7" w14:textId="0BC9A847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13B3" w14:textId="5249700D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340" w:type="dxa"/>
            <w:noWrap/>
          </w:tcPr>
          <w:p w14:paraId="4092804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F513F1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A7352BC" w14:textId="77777777" w:rsidTr="00490805">
        <w:trPr>
          <w:trHeight w:val="60"/>
        </w:trPr>
        <w:tc>
          <w:tcPr>
            <w:tcW w:w="554" w:type="dxa"/>
          </w:tcPr>
          <w:p w14:paraId="708911C6" w14:textId="4AD35498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DF93" w14:textId="65A738E8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Краска эмульсионная белая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09A" w14:textId="4D7E9310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кг ведро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3FB" w14:textId="665C8EC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ведро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950A" w14:textId="07DDF290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5C2A649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161EB64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EB53E65" w14:textId="77777777" w:rsidTr="00490805">
        <w:trPr>
          <w:trHeight w:val="60"/>
        </w:trPr>
        <w:tc>
          <w:tcPr>
            <w:tcW w:w="554" w:type="dxa"/>
          </w:tcPr>
          <w:p w14:paraId="785D534E" w14:textId="3189E59D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D54B" w14:textId="5B3EFED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профиль для потолка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F3B5" w14:textId="0BDC9FC3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5EC2" w14:textId="68AF2D5E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215F" w14:textId="236C4BB0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noWrap/>
          </w:tcPr>
          <w:p w14:paraId="5D3D451A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90DF9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45492F4" w14:textId="77777777" w:rsidTr="00490805">
        <w:trPr>
          <w:trHeight w:val="60"/>
        </w:trPr>
        <w:tc>
          <w:tcPr>
            <w:tcW w:w="554" w:type="dxa"/>
          </w:tcPr>
          <w:p w14:paraId="61A4C0F3" w14:textId="6B57376B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2743" w14:textId="1AC245EF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Направляющие для потолка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74A" w14:textId="29E9B23D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металл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7EA" w14:textId="0CA05EEE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ED26" w14:textId="7F668894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340" w:type="dxa"/>
            <w:noWrap/>
          </w:tcPr>
          <w:p w14:paraId="73A4AF48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E54D4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9CCF936" w14:textId="77777777" w:rsidTr="00490805">
        <w:trPr>
          <w:trHeight w:val="60"/>
        </w:trPr>
        <w:tc>
          <w:tcPr>
            <w:tcW w:w="554" w:type="dxa"/>
          </w:tcPr>
          <w:p w14:paraId="5C5AB946" w14:textId="72EB396A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C15" w14:textId="2A01A988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Пластик потолочный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6D92" w14:textId="0567A30F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метра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8973" w14:textId="1B9297D8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E6FA" w14:textId="61D7F988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0214FBBC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A0A18E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742D2C1" w14:textId="77777777" w:rsidTr="00490805">
        <w:trPr>
          <w:trHeight w:val="60"/>
        </w:trPr>
        <w:tc>
          <w:tcPr>
            <w:tcW w:w="554" w:type="dxa"/>
          </w:tcPr>
          <w:p w14:paraId="12F9A8C4" w14:textId="28309BDD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8A9" w14:textId="1CD199BB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кафель стеновой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9F6" w14:textId="73E72234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20х30см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BA60" w14:textId="358CBBDC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CA71" w14:textId="730FBE83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2340" w:type="dxa"/>
            <w:noWrap/>
          </w:tcPr>
          <w:p w14:paraId="615F3B8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7B61CB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6A6D89C3" w14:textId="77777777" w:rsidTr="00490805">
        <w:trPr>
          <w:trHeight w:val="60"/>
        </w:trPr>
        <w:tc>
          <w:tcPr>
            <w:tcW w:w="554" w:type="dxa"/>
          </w:tcPr>
          <w:p w14:paraId="093B973C" w14:textId="61D197F2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8C0" w14:textId="30034DD0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кафель половой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3782" w14:textId="0518281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40х40 см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112F" w14:textId="3E0C8E6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ECFA" w14:textId="02BF7443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7D2EEF6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CA47382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393B6AC1" w14:textId="77777777" w:rsidTr="00490805">
        <w:trPr>
          <w:trHeight w:val="60"/>
        </w:trPr>
        <w:tc>
          <w:tcPr>
            <w:tcW w:w="554" w:type="dxa"/>
          </w:tcPr>
          <w:p w14:paraId="244A2313" w14:textId="7948968F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FAA" w14:textId="09CCE4DB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Клей кафельный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866" w14:textId="0AC6D64C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кг мешок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1CB4" w14:textId="05DBF154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E71A" w14:textId="61C5E5D4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2340" w:type="dxa"/>
            <w:noWrap/>
          </w:tcPr>
          <w:p w14:paraId="3498B5C0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1815067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53DF7744" w14:textId="77777777" w:rsidTr="00490805">
        <w:trPr>
          <w:trHeight w:val="60"/>
        </w:trPr>
        <w:tc>
          <w:tcPr>
            <w:tcW w:w="554" w:type="dxa"/>
          </w:tcPr>
          <w:p w14:paraId="264174E2" w14:textId="4B87FE3A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BAF9" w14:textId="14745331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умывальник с подставкой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894" w14:textId="0917D038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фарфор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C2A1" w14:textId="000EDD56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6652" w14:textId="554DE2F0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4A97045F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E8F8D4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3A273E76" w14:textId="77777777" w:rsidTr="00490805">
        <w:trPr>
          <w:trHeight w:val="60"/>
        </w:trPr>
        <w:tc>
          <w:tcPr>
            <w:tcW w:w="554" w:type="dxa"/>
          </w:tcPr>
          <w:p w14:paraId="67986F46" w14:textId="5CE7B400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B296" w14:textId="4DA84A07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чаша генуя (унитаз)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5F07" w14:textId="719BA711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фарфор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FC63" w14:textId="280801F5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17EA" w14:textId="563FE347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340" w:type="dxa"/>
            <w:noWrap/>
          </w:tcPr>
          <w:p w14:paraId="79E13D74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0FF75FD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4478917F" w14:textId="77777777" w:rsidTr="00490805">
        <w:trPr>
          <w:trHeight w:val="60"/>
        </w:trPr>
        <w:tc>
          <w:tcPr>
            <w:tcW w:w="554" w:type="dxa"/>
          </w:tcPr>
          <w:p w14:paraId="3A4FCB41" w14:textId="296D3E46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E41" w14:textId="4C2CD678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Сливная бочка для чашаген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8BF8" w14:textId="7B653640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пластик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FB95" w14:textId="6BFEFB60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7745" w14:textId="2FFE70E3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340" w:type="dxa"/>
            <w:noWrap/>
          </w:tcPr>
          <w:p w14:paraId="35155A8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3E92F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734F4C57" w14:textId="77777777" w:rsidTr="00490805">
        <w:trPr>
          <w:trHeight w:val="60"/>
        </w:trPr>
        <w:tc>
          <w:tcPr>
            <w:tcW w:w="554" w:type="dxa"/>
          </w:tcPr>
          <w:p w14:paraId="6B62D5F9" w14:textId="556F9B1F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8F8" w14:textId="6F2C90F5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унитаз комплект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4C3" w14:textId="74DF37D9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фарфор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125" w14:textId="4F3D743A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B41F" w14:textId="03A0C504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138CCE46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BD21213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8C750A8" w14:textId="77777777" w:rsidTr="00490805">
        <w:trPr>
          <w:trHeight w:val="60"/>
        </w:trPr>
        <w:tc>
          <w:tcPr>
            <w:tcW w:w="554" w:type="dxa"/>
          </w:tcPr>
          <w:p w14:paraId="622DCDFF" w14:textId="2A6C3510" w:rsidR="00490805" w:rsidRPr="00A83EE8" w:rsidRDefault="00490805" w:rsidP="00152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A79A" w14:textId="1BC1FF44" w:rsidR="00490805" w:rsidRPr="00E25E4E" w:rsidRDefault="00490805" w:rsidP="00152AA6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смеситель для умывальника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DDDDD" w14:textId="5E64C674" w:rsidR="00490805" w:rsidRDefault="00490805" w:rsidP="00152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Холод горяч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6B00" w14:textId="49B2EC2A" w:rsidR="00490805" w:rsidRPr="00E25E4E" w:rsidRDefault="00490805" w:rsidP="00152AA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D7B5" w14:textId="701AEC8F" w:rsidR="00490805" w:rsidRPr="00E25E4E" w:rsidRDefault="00490805" w:rsidP="00152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340" w:type="dxa"/>
            <w:noWrap/>
          </w:tcPr>
          <w:p w14:paraId="724F2C9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6DB381" w14:textId="77777777" w:rsidR="00490805" w:rsidRPr="00916D44" w:rsidRDefault="00490805" w:rsidP="00152AA6">
            <w:pPr>
              <w:rPr>
                <w:sz w:val="20"/>
                <w:szCs w:val="20"/>
              </w:rPr>
            </w:pPr>
          </w:p>
        </w:tc>
      </w:tr>
      <w:tr w:rsidR="00490805" w:rsidRPr="00916D44" w14:paraId="045196BE" w14:textId="77777777" w:rsidTr="00490805">
        <w:trPr>
          <w:trHeight w:val="60"/>
        </w:trPr>
        <w:tc>
          <w:tcPr>
            <w:tcW w:w="554" w:type="dxa"/>
          </w:tcPr>
          <w:p w14:paraId="420712A0" w14:textId="702BD7D2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4B62" w14:textId="7C6A9BB5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гигиен душ смеситель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E4E6" w14:textId="6D69A3AE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Холод горяч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E79" w14:textId="53F219F7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19ED" w14:textId="09DB07DA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3A295724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F00C2D6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D81BD5F" w14:textId="77777777" w:rsidTr="00490805">
        <w:trPr>
          <w:trHeight w:val="60"/>
        </w:trPr>
        <w:tc>
          <w:tcPr>
            <w:tcW w:w="554" w:type="dxa"/>
          </w:tcPr>
          <w:p w14:paraId="2676E8A1" w14:textId="6AB477BF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3E5B" w14:textId="20E45DF3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120 мм ППР канализация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A84" w14:textId="51E84566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метровая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090C" w14:textId="32C8F7F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B89F" w14:textId="62DE4474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</w:tcPr>
          <w:p w14:paraId="14528C7F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DE4AAB8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08C03F85" w14:textId="77777777" w:rsidTr="00490805">
        <w:trPr>
          <w:trHeight w:val="60"/>
        </w:trPr>
        <w:tc>
          <w:tcPr>
            <w:tcW w:w="554" w:type="dxa"/>
          </w:tcPr>
          <w:p w14:paraId="68271E25" w14:textId="703B2920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5133" w14:textId="73F4FC08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120 мм ППР канализация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AF5" w14:textId="56BB371D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метровая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F09D" w14:textId="03F5020B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7DC4" w14:textId="695C02B0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208FB407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FA32B4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0B0B010" w14:textId="77777777" w:rsidTr="00490805">
        <w:trPr>
          <w:trHeight w:val="60"/>
        </w:trPr>
        <w:tc>
          <w:tcPr>
            <w:tcW w:w="554" w:type="dxa"/>
          </w:tcPr>
          <w:p w14:paraId="1BD51387" w14:textId="73F9CF50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EB19" w14:textId="1875A70F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50 мм ППР канализация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1BA" w14:textId="673E444D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метровая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BBE" w14:textId="09DFF79A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3D0" w14:textId="702A845E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753C8997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E776D8D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78340E2B" w14:textId="77777777" w:rsidTr="00490805">
        <w:trPr>
          <w:trHeight w:val="60"/>
        </w:trPr>
        <w:tc>
          <w:tcPr>
            <w:tcW w:w="554" w:type="dxa"/>
          </w:tcPr>
          <w:p w14:paraId="42FF5E96" w14:textId="168A1435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6CC5" w14:textId="7496B081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50 мм ППР канализация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E920" w14:textId="5ACF25F9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метровая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97F5" w14:textId="2A24F78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C68" w14:textId="673970D3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5228528F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FF41B4D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327E5F9" w14:textId="77777777" w:rsidTr="00490805">
        <w:trPr>
          <w:trHeight w:val="60"/>
        </w:trPr>
        <w:tc>
          <w:tcPr>
            <w:tcW w:w="554" w:type="dxa"/>
          </w:tcPr>
          <w:p w14:paraId="536CD7DA" w14:textId="157B0E14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9553" w14:textId="53FE3EB2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тройник 120 мм ППР канилизация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67F2" w14:textId="57F09FCA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3D6E" w14:textId="21AA4CF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B292" w14:textId="1D581C77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noWrap/>
          </w:tcPr>
          <w:p w14:paraId="6F2696ED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90719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238190C5" w14:textId="77777777" w:rsidTr="00490805">
        <w:trPr>
          <w:trHeight w:val="60"/>
        </w:trPr>
        <w:tc>
          <w:tcPr>
            <w:tcW w:w="554" w:type="dxa"/>
          </w:tcPr>
          <w:p w14:paraId="399854A6" w14:textId="6C59DCE9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3F32" w14:textId="5BB819FD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колено 120мм для чашаген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F18" w14:textId="452EFC86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14D" w14:textId="5848CE8E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7366" w14:textId="7C2908CE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340" w:type="dxa"/>
            <w:noWrap/>
          </w:tcPr>
          <w:p w14:paraId="7D2ABD3C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AA94F1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62DE4FEC" w14:textId="77777777" w:rsidTr="00490805">
        <w:trPr>
          <w:trHeight w:val="60"/>
        </w:trPr>
        <w:tc>
          <w:tcPr>
            <w:tcW w:w="554" w:type="dxa"/>
          </w:tcPr>
          <w:p w14:paraId="15B389EC" w14:textId="2345D772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E31A" w14:textId="40C9EB42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тройник 50 мм ППР канилизация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37D" w14:textId="369A68FD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10B" w14:textId="4D43C444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C077" w14:textId="3BCD413D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340" w:type="dxa"/>
            <w:noWrap/>
          </w:tcPr>
          <w:p w14:paraId="6E097D9A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247E1E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6357D9BC" w14:textId="77777777" w:rsidTr="00490805">
        <w:trPr>
          <w:trHeight w:val="60"/>
        </w:trPr>
        <w:tc>
          <w:tcPr>
            <w:tcW w:w="554" w:type="dxa"/>
          </w:tcPr>
          <w:p w14:paraId="474167B4" w14:textId="0CAE8314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77D" w14:textId="1D530F7B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32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B93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7ABE" w14:textId="33C32B13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BE09" w14:textId="6158539D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340" w:type="dxa"/>
            <w:noWrap/>
          </w:tcPr>
          <w:p w14:paraId="0C9D5895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5C029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CE7F76B" w14:textId="77777777" w:rsidTr="00490805">
        <w:trPr>
          <w:trHeight w:val="60"/>
        </w:trPr>
        <w:tc>
          <w:tcPr>
            <w:tcW w:w="554" w:type="dxa"/>
          </w:tcPr>
          <w:p w14:paraId="0F76C1F9" w14:textId="4F0198CE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6AB" w14:textId="1685A69F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25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FEB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437" w14:textId="70285851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081" w14:textId="56D11961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340" w:type="dxa"/>
            <w:noWrap/>
          </w:tcPr>
          <w:p w14:paraId="26FAAC7E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9B81943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4E2B7F0A" w14:textId="77777777" w:rsidTr="00490805">
        <w:trPr>
          <w:trHeight w:val="60"/>
        </w:trPr>
        <w:tc>
          <w:tcPr>
            <w:tcW w:w="554" w:type="dxa"/>
          </w:tcPr>
          <w:p w14:paraId="77547201" w14:textId="14AB9034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236" w14:textId="2055D970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труба 20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AF6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1993" w14:textId="374A9270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метр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1544" w14:textId="42E0918D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noWrap/>
          </w:tcPr>
          <w:p w14:paraId="15BA84B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F82C829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DFB7B12" w14:textId="77777777" w:rsidTr="00490805">
        <w:trPr>
          <w:trHeight w:val="60"/>
        </w:trPr>
        <w:tc>
          <w:tcPr>
            <w:tcW w:w="554" w:type="dxa"/>
          </w:tcPr>
          <w:p w14:paraId="3C962908" w14:textId="527B0458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EAED" w14:textId="18834F98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уголок 20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1A8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9D5" w14:textId="004FC53C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BACA" w14:textId="0F4E493F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21CBA9E2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40F60E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315CCEF1" w14:textId="77777777" w:rsidTr="00490805">
        <w:trPr>
          <w:trHeight w:val="60"/>
        </w:trPr>
        <w:tc>
          <w:tcPr>
            <w:tcW w:w="554" w:type="dxa"/>
          </w:tcPr>
          <w:p w14:paraId="2F50F4D1" w14:textId="60816B61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BCCF" w14:textId="00912CA6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тройник 20 мм ППР вода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6AE" w14:textId="77777777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497" w14:textId="0102CA0A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B6E" w14:textId="630D890B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340" w:type="dxa"/>
            <w:noWrap/>
          </w:tcPr>
          <w:p w14:paraId="139F2722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ACF15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D4EA09F" w14:textId="77777777" w:rsidTr="00490805">
        <w:trPr>
          <w:trHeight w:val="60"/>
        </w:trPr>
        <w:tc>
          <w:tcPr>
            <w:tcW w:w="554" w:type="dxa"/>
          </w:tcPr>
          <w:p w14:paraId="11393742" w14:textId="2E788699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063" w14:textId="5C6A9925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Водонагреватель электрический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F5A" w14:textId="6B9B0534" w:rsidR="00490805" w:rsidRPr="00431F1B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80 </w:t>
            </w:r>
            <w:r>
              <w:rPr>
                <w:rFonts w:ascii="Calibri" w:hAnsi="Calibri" w:cs="Calibri"/>
                <w:color w:val="000000"/>
              </w:rPr>
              <w:t>литр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E5C3" w14:textId="142FBEEE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1D9E" w14:textId="06BC60B8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noWrap/>
          </w:tcPr>
          <w:p w14:paraId="22D5FD95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6E060A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  <w:tr w:rsidR="00490805" w:rsidRPr="00916D44" w14:paraId="16D1C48F" w14:textId="77777777" w:rsidTr="00490805">
        <w:trPr>
          <w:trHeight w:val="60"/>
        </w:trPr>
        <w:tc>
          <w:tcPr>
            <w:tcW w:w="554" w:type="dxa"/>
          </w:tcPr>
          <w:p w14:paraId="0E216E71" w14:textId="37132EF8" w:rsidR="00490805" w:rsidRPr="00A83EE8" w:rsidRDefault="00490805" w:rsidP="00D74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9395" w14:textId="00820D2B" w:rsidR="00490805" w:rsidRPr="00E25E4E" w:rsidRDefault="00490805" w:rsidP="00D74BEC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Цистерна для воды пластик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24E" w14:textId="2AE7CE4E" w:rsidR="00490805" w:rsidRDefault="00490805" w:rsidP="00D74B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 литр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D40" w14:textId="6FC36B03" w:rsidR="00490805" w:rsidRPr="00E25E4E" w:rsidRDefault="00490805" w:rsidP="00D74BEC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AD17" w14:textId="36ED3692" w:rsidR="00490805" w:rsidRPr="00E25E4E" w:rsidRDefault="00490805" w:rsidP="00D74B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340" w:type="dxa"/>
            <w:noWrap/>
          </w:tcPr>
          <w:p w14:paraId="30E000DB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8D9F90" w14:textId="77777777" w:rsidR="00490805" w:rsidRPr="00916D44" w:rsidRDefault="00490805" w:rsidP="00D74BEC">
            <w:pPr>
              <w:rPr>
                <w:sz w:val="20"/>
                <w:szCs w:val="20"/>
              </w:rPr>
            </w:pPr>
          </w:p>
        </w:tc>
      </w:tr>
    </w:tbl>
    <w:p w14:paraId="786DAEF7" w14:textId="77777777" w:rsidR="00E95841" w:rsidRDefault="00E95841" w:rsidP="00E95841">
      <w:pPr>
        <w:rPr>
          <w:b/>
          <w:bCs/>
          <w:sz w:val="24"/>
          <w:szCs w:val="24"/>
        </w:rPr>
      </w:pPr>
    </w:p>
    <w:p w14:paraId="2C075661" w14:textId="483A1CBF" w:rsidR="001B7522" w:rsidRPr="0073497D" w:rsidRDefault="0073497D" w:rsidP="00E95841">
      <w:pPr>
        <w:rPr>
          <w:b/>
          <w:bCs/>
          <w:sz w:val="24"/>
          <w:szCs w:val="24"/>
        </w:rPr>
      </w:pPr>
      <w:r w:rsidRPr="0073497D">
        <w:rPr>
          <w:b/>
          <w:bCs/>
          <w:sz w:val="24"/>
          <w:szCs w:val="24"/>
        </w:rPr>
        <w:t xml:space="preserve">Дополнительные условия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944"/>
        <w:gridCol w:w="3736"/>
      </w:tblGrid>
      <w:tr w:rsidR="00D310DC" w:rsidRPr="00916D44" w14:paraId="31540D11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943" w14:textId="77777777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оплаты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3834" w14:textId="481539EA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10DC" w:rsidRPr="00916D44" w14:paraId="526C524F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36DD" w14:textId="57325DCC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доставки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F75" w14:textId="71C27C2F" w:rsidR="00D310DC" w:rsidRPr="00FF6BBB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310DC" w:rsidRPr="00916D44" w14:paraId="4D507959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3654" w14:textId="77777777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Гарантия на обслуживание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B0C" w14:textId="45879891" w:rsidR="00D310DC" w:rsidRPr="00FF6BBB" w:rsidRDefault="00D310DC" w:rsidP="00916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310DC" w:rsidRPr="00916D44" w14:paraId="1B2A2B5C" w14:textId="77777777" w:rsidTr="00D310DC">
        <w:trPr>
          <w:trHeight w:val="351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CB1" w14:textId="77777777" w:rsidR="00D310DC" w:rsidRPr="00916D44" w:rsidRDefault="00D310DC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действия предложения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E49C" w14:textId="62A512EA" w:rsidR="00D310DC" w:rsidRPr="00916D44" w:rsidRDefault="00D310DC" w:rsidP="00916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14:paraId="129DDC7F" w14:textId="0FC26FF4" w:rsidR="00916D44" w:rsidRDefault="00916D44">
      <w:pPr>
        <w:rPr>
          <w:sz w:val="20"/>
          <w:szCs w:val="20"/>
        </w:rPr>
      </w:pPr>
    </w:p>
    <w:p w14:paraId="314D8DFA" w14:textId="77777777" w:rsidR="00912332" w:rsidRPr="00FF6BBB" w:rsidRDefault="00912332">
      <w:pPr>
        <w:rPr>
          <w:sz w:val="20"/>
          <w:szCs w:val="20"/>
        </w:rPr>
      </w:pPr>
    </w:p>
    <w:p w14:paraId="4D20B852" w14:textId="1A88D4EC" w:rsidR="00EC42EA" w:rsidRDefault="00FF6BBB" w:rsidP="00FF6BBB">
      <w:pPr>
        <w:pStyle w:val="ListParagraph"/>
        <w:rPr>
          <w:b/>
          <w:bCs/>
          <w:sz w:val="24"/>
          <w:szCs w:val="24"/>
        </w:rPr>
      </w:pPr>
      <w:r w:rsidRPr="00FF6BBB">
        <w:rPr>
          <w:b/>
          <w:bCs/>
          <w:sz w:val="24"/>
          <w:szCs w:val="24"/>
        </w:rPr>
        <w:t xml:space="preserve">Общие требования </w:t>
      </w:r>
    </w:p>
    <w:p w14:paraId="0E5D3429" w14:textId="31CF1BC0" w:rsidR="00FF6BBB" w:rsidRPr="00471CB2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71CB2">
        <w:rPr>
          <w:b/>
          <w:bCs/>
          <w:sz w:val="24"/>
          <w:szCs w:val="24"/>
        </w:rPr>
        <w:t xml:space="preserve">Место доставки: </w:t>
      </w:r>
      <w:r w:rsidR="00BF73CE" w:rsidRPr="00471CB2">
        <w:rPr>
          <w:b/>
          <w:bCs/>
          <w:sz w:val="24"/>
          <w:szCs w:val="24"/>
        </w:rPr>
        <w:t>ЦРБ район</w:t>
      </w:r>
      <w:r w:rsidR="00E1064B">
        <w:rPr>
          <w:b/>
          <w:bCs/>
          <w:sz w:val="24"/>
          <w:szCs w:val="24"/>
        </w:rPr>
        <w:t>а Хуросон</w:t>
      </w:r>
      <w:r w:rsidR="006F1A8C" w:rsidRPr="006F1A8C">
        <w:rPr>
          <w:b/>
          <w:bCs/>
          <w:sz w:val="24"/>
          <w:szCs w:val="24"/>
        </w:rPr>
        <w:t xml:space="preserve"> </w:t>
      </w:r>
      <w:r w:rsidR="00471CB2" w:rsidRPr="00471CB2">
        <w:rPr>
          <w:b/>
          <w:bCs/>
          <w:sz w:val="24"/>
          <w:szCs w:val="24"/>
        </w:rPr>
        <w:t xml:space="preserve">Хатлонской области. </w:t>
      </w:r>
    </w:p>
    <w:p w14:paraId="165D6FED" w14:textId="10EE3BAE" w:rsidR="00416BED" w:rsidRPr="00471CB2" w:rsidRDefault="00416BED" w:rsidP="00471CB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71CB2">
        <w:rPr>
          <w:b/>
          <w:bCs/>
          <w:sz w:val="24"/>
          <w:szCs w:val="24"/>
        </w:rPr>
        <w:t>Цены должны включать транспортировку</w:t>
      </w:r>
      <w:r w:rsidR="006F1A8C" w:rsidRPr="006F1A8C">
        <w:rPr>
          <w:b/>
          <w:bCs/>
          <w:sz w:val="24"/>
          <w:szCs w:val="24"/>
        </w:rPr>
        <w:t xml:space="preserve"> </w:t>
      </w:r>
      <w:r w:rsidR="006F1A8C">
        <w:rPr>
          <w:b/>
          <w:bCs/>
          <w:sz w:val="24"/>
          <w:szCs w:val="24"/>
        </w:rPr>
        <w:t>и выгрузку</w:t>
      </w:r>
      <w:r w:rsidR="00006EEF" w:rsidRPr="00471CB2">
        <w:rPr>
          <w:b/>
          <w:bCs/>
          <w:sz w:val="24"/>
          <w:szCs w:val="24"/>
        </w:rPr>
        <w:t xml:space="preserve"> </w:t>
      </w:r>
      <w:r w:rsidR="005822F5" w:rsidRPr="00471CB2">
        <w:rPr>
          <w:b/>
          <w:bCs/>
          <w:sz w:val="24"/>
          <w:szCs w:val="24"/>
        </w:rPr>
        <w:t>до места назначения</w:t>
      </w:r>
      <w:r w:rsidRPr="00471CB2">
        <w:rPr>
          <w:b/>
          <w:bCs/>
          <w:sz w:val="24"/>
          <w:szCs w:val="24"/>
        </w:rPr>
        <w:t>.</w:t>
      </w:r>
    </w:p>
    <w:p w14:paraId="1A090D78" w14:textId="498B92BF" w:rsidR="00416BED" w:rsidRPr="00471CB2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71CB2">
        <w:rPr>
          <w:b/>
          <w:bCs/>
          <w:sz w:val="24"/>
          <w:szCs w:val="24"/>
        </w:rPr>
        <w:t>Оплата: 100% после доставки товар</w:t>
      </w:r>
      <w:r w:rsidR="00EE6235">
        <w:rPr>
          <w:b/>
          <w:bCs/>
          <w:sz w:val="24"/>
          <w:szCs w:val="24"/>
        </w:rPr>
        <w:t>ов</w:t>
      </w:r>
      <w:r w:rsidR="00950985" w:rsidRPr="00471CB2">
        <w:rPr>
          <w:b/>
          <w:bCs/>
          <w:sz w:val="24"/>
          <w:szCs w:val="24"/>
        </w:rPr>
        <w:t xml:space="preserve"> до места назначения</w:t>
      </w:r>
      <w:r w:rsidR="005822F5" w:rsidRPr="00471CB2">
        <w:rPr>
          <w:b/>
          <w:bCs/>
          <w:sz w:val="24"/>
          <w:szCs w:val="24"/>
        </w:rPr>
        <w:t xml:space="preserve">, а также </w:t>
      </w:r>
      <w:r w:rsidRPr="00471CB2">
        <w:rPr>
          <w:b/>
          <w:bCs/>
          <w:sz w:val="24"/>
          <w:szCs w:val="24"/>
        </w:rPr>
        <w:t>подписания акта приема-передачи, посредством банковского перевода</w:t>
      </w:r>
      <w:r w:rsidR="00765A2E" w:rsidRPr="00471CB2">
        <w:rPr>
          <w:b/>
          <w:bCs/>
          <w:sz w:val="24"/>
          <w:szCs w:val="24"/>
        </w:rPr>
        <w:t xml:space="preserve"> </w:t>
      </w:r>
      <w:r w:rsidRPr="00471CB2">
        <w:rPr>
          <w:b/>
          <w:bCs/>
          <w:sz w:val="24"/>
          <w:szCs w:val="24"/>
        </w:rPr>
        <w:t>суммы на расчётный счет поставщика.</w:t>
      </w:r>
    </w:p>
    <w:p w14:paraId="74CCA8F6" w14:textId="6D417B5B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Товар принимается после осмотра на предмет отсутствия внешних повреждений и дефектов</w:t>
      </w:r>
      <w:r w:rsidR="00765A2E">
        <w:rPr>
          <w:b/>
          <w:bCs/>
          <w:sz w:val="24"/>
          <w:szCs w:val="24"/>
        </w:rPr>
        <w:t>.</w:t>
      </w:r>
    </w:p>
    <w:p w14:paraId="04264766" w14:textId="0BEB4DB6" w:rsidR="00311BD2" w:rsidRDefault="00311BD2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tg-Cyrl-TJ"/>
        </w:rPr>
        <w:t xml:space="preserve">Гарантия на предоставляемый товар должна </w:t>
      </w:r>
      <w:r w:rsidRPr="00EB5A03">
        <w:rPr>
          <w:b/>
          <w:bCs/>
          <w:sz w:val="24"/>
          <w:szCs w:val="24"/>
          <w:lang w:val="tg-Cyrl-TJ"/>
        </w:rPr>
        <w:t>составлят</w:t>
      </w:r>
      <w:r w:rsidRPr="00EB5A03">
        <w:rPr>
          <w:b/>
          <w:bCs/>
          <w:sz w:val="24"/>
          <w:szCs w:val="24"/>
        </w:rPr>
        <w:t>ь 12 месяцев</w:t>
      </w:r>
      <w:r w:rsidRPr="00D310DC">
        <w:rPr>
          <w:b/>
          <w:bCs/>
          <w:color w:val="FF0000"/>
          <w:sz w:val="24"/>
          <w:szCs w:val="24"/>
        </w:rPr>
        <w:t>.</w:t>
      </w:r>
    </w:p>
    <w:p w14:paraId="302BC37A" w14:textId="0A4D1657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Срок действия ценового предложения должен быть </w:t>
      </w:r>
      <w:r w:rsidR="006F1A8C">
        <w:rPr>
          <w:b/>
          <w:bCs/>
          <w:sz w:val="24"/>
          <w:szCs w:val="24"/>
          <w:lang w:val="tg-Cyrl-TJ"/>
        </w:rPr>
        <w:t>3</w:t>
      </w:r>
      <w:r>
        <w:rPr>
          <w:b/>
          <w:bCs/>
          <w:sz w:val="24"/>
          <w:szCs w:val="24"/>
        </w:rPr>
        <w:t>0 календарных дней</w:t>
      </w:r>
      <w:r w:rsidR="00765A2E">
        <w:rPr>
          <w:b/>
          <w:bCs/>
          <w:sz w:val="24"/>
          <w:szCs w:val="24"/>
        </w:rPr>
        <w:t xml:space="preserve"> с даты его предоставления.</w:t>
      </w:r>
    </w:p>
    <w:p w14:paraId="19E713D7" w14:textId="730153C0" w:rsidR="00471CB2" w:rsidRDefault="00471CB2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доставки должны составлять </w:t>
      </w:r>
      <w:r w:rsidR="00910E5D">
        <w:rPr>
          <w:b/>
          <w:bCs/>
          <w:sz w:val="24"/>
          <w:szCs w:val="24"/>
        </w:rPr>
        <w:t>5</w:t>
      </w:r>
      <w:r w:rsidR="00E41260">
        <w:rPr>
          <w:b/>
          <w:bCs/>
          <w:sz w:val="24"/>
          <w:szCs w:val="24"/>
        </w:rPr>
        <w:t>–</w:t>
      </w:r>
      <w:r w:rsidR="00EE6235">
        <w:rPr>
          <w:b/>
          <w:bCs/>
          <w:sz w:val="24"/>
          <w:szCs w:val="24"/>
        </w:rPr>
        <w:t>10</w:t>
      </w:r>
      <w:r w:rsidR="00E412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дней. </w:t>
      </w:r>
    </w:p>
    <w:p w14:paraId="3916FA10" w14:textId="024CD5C6" w:rsidR="00765A2E" w:rsidRPr="006F1A8C" w:rsidRDefault="00765A2E" w:rsidP="00FF6BB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Коммерческое предложение должно быть отправлено на электронный адрес</w:t>
      </w:r>
      <w:r w:rsidR="00510B0E">
        <w:rPr>
          <w:b/>
          <w:bCs/>
          <w:sz w:val="24"/>
          <w:szCs w:val="24"/>
        </w:rPr>
        <w:t xml:space="preserve"> </w:t>
      </w:r>
      <w:hyperlink r:id="rId11" w:history="1"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Suhrob</w:t>
        </w:r>
        <w:r w:rsidR="00813144" w:rsidRPr="00497AA7">
          <w:rPr>
            <w:rStyle w:val="Hyperlink"/>
            <w:b/>
            <w:bCs/>
            <w:sz w:val="24"/>
            <w:szCs w:val="24"/>
          </w:rPr>
          <w:t>.</w:t>
        </w:r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Dodojonov</w:t>
        </w:r>
        <w:r w:rsidR="00813144" w:rsidRPr="002C551C">
          <w:rPr>
            <w:rStyle w:val="Hyperlink"/>
            <w:b/>
            <w:bCs/>
            <w:sz w:val="24"/>
            <w:szCs w:val="24"/>
          </w:rPr>
          <w:t>@</w:t>
        </w:r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abtglobal</w:t>
        </w:r>
        <w:r w:rsidR="00813144" w:rsidRPr="002C551C">
          <w:rPr>
            <w:rStyle w:val="Hyperlink"/>
            <w:b/>
            <w:bCs/>
            <w:sz w:val="24"/>
            <w:szCs w:val="24"/>
          </w:rPr>
          <w:t>.</w:t>
        </w:r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com</w:t>
        </w:r>
      </w:hyperlink>
      <w:r w:rsidR="00510B0E" w:rsidRPr="00510B0E">
        <w:rPr>
          <w:b/>
          <w:bCs/>
          <w:sz w:val="24"/>
          <w:szCs w:val="24"/>
        </w:rPr>
        <w:t xml:space="preserve"> </w:t>
      </w:r>
      <w:r w:rsidR="00510B0E">
        <w:rPr>
          <w:b/>
          <w:bCs/>
          <w:sz w:val="24"/>
          <w:szCs w:val="24"/>
        </w:rPr>
        <w:t>с копией на электронный адрес</w:t>
      </w:r>
      <w:r w:rsidR="00442CE3" w:rsidRPr="00442CE3">
        <w:rPr>
          <w:b/>
          <w:bCs/>
          <w:sz w:val="24"/>
          <w:szCs w:val="24"/>
        </w:rPr>
        <w:t>,</w:t>
      </w:r>
      <w:r w:rsidR="006034B6">
        <w:rPr>
          <w:b/>
          <w:bCs/>
          <w:sz w:val="24"/>
          <w:szCs w:val="24"/>
        </w:rPr>
        <w:t xml:space="preserve"> </w:t>
      </w:r>
      <w:hyperlink r:id="rId12" w:history="1"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Dilovar</w:t>
        </w:r>
        <w:r w:rsidR="00813144" w:rsidRPr="00497AA7">
          <w:rPr>
            <w:rStyle w:val="Hyperlink"/>
            <w:b/>
            <w:bCs/>
            <w:sz w:val="24"/>
            <w:szCs w:val="24"/>
          </w:rPr>
          <w:t>.</w:t>
        </w:r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Mirrahmatov</w:t>
        </w:r>
        <w:r w:rsidR="00813144" w:rsidRPr="002C551C">
          <w:rPr>
            <w:rStyle w:val="Hyperlink"/>
            <w:b/>
            <w:bCs/>
            <w:sz w:val="24"/>
            <w:szCs w:val="24"/>
          </w:rPr>
          <w:t>@</w:t>
        </w:r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abtglobal</w:t>
        </w:r>
        <w:r w:rsidR="00813144" w:rsidRPr="002C551C">
          <w:rPr>
            <w:rStyle w:val="Hyperlink"/>
            <w:b/>
            <w:bCs/>
            <w:sz w:val="24"/>
            <w:szCs w:val="24"/>
          </w:rPr>
          <w:t>.</w:t>
        </w:r>
        <w:r w:rsidR="00813144" w:rsidRPr="002C551C">
          <w:rPr>
            <w:rStyle w:val="Hyperlink"/>
            <w:b/>
            <w:bCs/>
            <w:sz w:val="24"/>
            <w:szCs w:val="24"/>
            <w:lang w:val="en-US"/>
          </w:rPr>
          <w:t>com</w:t>
        </w:r>
      </w:hyperlink>
      <w:r w:rsidR="00065120" w:rsidRPr="00065120">
        <w:t xml:space="preserve"> </w:t>
      </w:r>
      <w:r w:rsidR="00510B0E">
        <w:rPr>
          <w:b/>
          <w:bCs/>
          <w:sz w:val="24"/>
          <w:szCs w:val="24"/>
        </w:rPr>
        <w:t xml:space="preserve">с указанием темы </w:t>
      </w:r>
      <w:r w:rsidR="00510B0E" w:rsidRPr="006F1A8C">
        <w:rPr>
          <w:rFonts w:eastAsia="Times New Roman" w:cstheme="minorHAnsi"/>
          <w:b/>
          <w:bCs/>
          <w:sz w:val="24"/>
          <w:szCs w:val="24"/>
          <w:lang w:eastAsia="ru-RU"/>
        </w:rPr>
        <w:t>RFQ – USAID/HMHB – 0</w:t>
      </w:r>
      <w:r w:rsidR="00E41260" w:rsidRPr="006F1A8C">
        <w:rPr>
          <w:rFonts w:eastAsia="Times New Roman" w:cstheme="minorHAnsi"/>
          <w:b/>
          <w:bCs/>
          <w:sz w:val="24"/>
          <w:szCs w:val="24"/>
          <w:lang w:eastAsia="ru-RU"/>
        </w:rPr>
        <w:t>2</w:t>
      </w:r>
      <w:r w:rsidR="00AB69A8" w:rsidRPr="006F1A8C"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="00510B0E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до 17:00</w:t>
      </w:r>
      <w:r w:rsidR="00950985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, </w:t>
      </w:r>
      <w:r w:rsidR="00497AA7">
        <w:rPr>
          <w:rFonts w:eastAsia="Times New Roman" w:cstheme="minorHAnsi"/>
          <w:b/>
          <w:bCs/>
          <w:sz w:val="24"/>
          <w:szCs w:val="24"/>
          <w:lang w:eastAsia="ru-RU"/>
        </w:rPr>
        <w:t>02</w:t>
      </w:r>
      <w:r w:rsidR="00950985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497AA7">
        <w:rPr>
          <w:rFonts w:eastAsia="Times New Roman" w:cstheme="minorHAnsi"/>
          <w:b/>
          <w:bCs/>
          <w:sz w:val="24"/>
          <w:szCs w:val="24"/>
          <w:lang w:eastAsia="ru-RU"/>
        </w:rPr>
        <w:t>января</w:t>
      </w:r>
      <w:r w:rsidR="00950985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6034B6" w:rsidRPr="006F1A8C">
        <w:rPr>
          <w:rFonts w:eastAsia="Times New Roman" w:cstheme="minorHAnsi"/>
          <w:b/>
          <w:bCs/>
          <w:sz w:val="24"/>
          <w:szCs w:val="24"/>
          <w:lang w:eastAsia="ru-RU"/>
        </w:rPr>
        <w:t>202</w:t>
      </w:r>
      <w:r w:rsidR="00497AA7">
        <w:rPr>
          <w:rFonts w:eastAsia="Times New Roman" w:cstheme="minorHAnsi"/>
          <w:b/>
          <w:bCs/>
          <w:sz w:val="24"/>
          <w:szCs w:val="24"/>
          <w:lang w:eastAsia="ru-RU"/>
        </w:rPr>
        <w:t>5</w:t>
      </w:r>
      <w:r w:rsidR="006034B6" w:rsidRPr="006F1A8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510B0E" w:rsidRPr="006F1A8C">
        <w:rPr>
          <w:rFonts w:eastAsia="Times New Roman" w:cstheme="minorHAnsi"/>
          <w:b/>
          <w:bCs/>
          <w:sz w:val="24"/>
          <w:szCs w:val="24"/>
          <w:lang w:eastAsia="ru-RU"/>
        </w:rPr>
        <w:t>года.</w:t>
      </w:r>
    </w:p>
    <w:p w14:paraId="4CF470EC" w14:textId="38CBB953" w:rsidR="00510B0E" w:rsidRPr="00510B0E" w:rsidRDefault="00510B0E" w:rsidP="00510B0E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spacing w:before="14" w:after="0" w:line="240" w:lineRule="auto"/>
        <w:ind w:right="-20"/>
        <w:jc w:val="both"/>
        <w:rPr>
          <w:rFonts w:eastAsia="Times New Roman" w:cstheme="minorHAnsi"/>
          <w:b/>
          <w:bCs/>
          <w:sz w:val="24"/>
          <w:szCs w:val="24"/>
        </w:rPr>
      </w:pPr>
      <w:r w:rsidRPr="00510B0E">
        <w:rPr>
          <w:rFonts w:eastAsia="Times New Roman" w:cstheme="minorHAnsi"/>
          <w:b/>
          <w:bCs/>
          <w:spacing w:val="-1"/>
          <w:sz w:val="24"/>
          <w:szCs w:val="24"/>
        </w:rPr>
        <w:t>Предложения, полученные после этой даты и времени, не будут приниматься</w:t>
      </w:r>
      <w:r w:rsidRPr="00510B0E">
        <w:rPr>
          <w:rFonts w:eastAsia="Times New Roman" w:cstheme="minorHAnsi"/>
          <w:b/>
          <w:bCs/>
          <w:sz w:val="24"/>
          <w:szCs w:val="24"/>
        </w:rPr>
        <w:t>.</w:t>
      </w:r>
    </w:p>
    <w:p w14:paraId="1605D4AC" w14:textId="4900C207" w:rsidR="00510B0E" w:rsidRPr="00510B0E" w:rsidRDefault="00510B0E" w:rsidP="00510B0E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spacing w:before="14" w:after="0" w:line="240" w:lineRule="auto"/>
        <w:ind w:right="-20"/>
        <w:jc w:val="both"/>
        <w:rPr>
          <w:rFonts w:eastAsia="Times New Roman" w:cstheme="minorHAnsi"/>
          <w:b/>
          <w:bCs/>
          <w:sz w:val="24"/>
          <w:szCs w:val="24"/>
        </w:rPr>
      </w:pPr>
      <w:r w:rsidRPr="00510B0E">
        <w:rPr>
          <w:rFonts w:eastAsia="Times New Roman" w:cstheme="minorHAnsi"/>
          <w:b/>
          <w:bCs/>
          <w:sz w:val="24"/>
          <w:szCs w:val="24"/>
        </w:rPr>
        <w:t xml:space="preserve">Предложения, которые не соответствуют всем требованиям данного </w:t>
      </w:r>
      <w:r w:rsidR="005871A3">
        <w:rPr>
          <w:rFonts w:eastAsia="Times New Roman" w:cstheme="minorHAnsi"/>
          <w:b/>
          <w:bCs/>
          <w:sz w:val="24"/>
          <w:szCs w:val="24"/>
        </w:rPr>
        <w:t>з</w:t>
      </w:r>
      <w:r w:rsidRPr="00510B0E">
        <w:rPr>
          <w:rFonts w:eastAsia="Times New Roman" w:cstheme="minorHAnsi"/>
          <w:b/>
          <w:bCs/>
          <w:sz w:val="24"/>
          <w:szCs w:val="24"/>
        </w:rPr>
        <w:t xml:space="preserve">апроса, </w:t>
      </w:r>
      <w:r>
        <w:rPr>
          <w:rFonts w:eastAsia="Times New Roman" w:cstheme="minorHAnsi"/>
          <w:b/>
          <w:bCs/>
          <w:sz w:val="24"/>
          <w:szCs w:val="24"/>
        </w:rPr>
        <w:t xml:space="preserve">не подлежат рассмотрению. </w:t>
      </w:r>
    </w:p>
    <w:p w14:paraId="09825BD5" w14:textId="09C1D4C9" w:rsidR="00510B0E" w:rsidRDefault="00510B0E" w:rsidP="00510B0E">
      <w:pPr>
        <w:pStyle w:val="ListParagraph"/>
        <w:ind w:left="1080"/>
        <w:rPr>
          <w:b/>
          <w:bCs/>
          <w:sz w:val="24"/>
          <w:szCs w:val="24"/>
        </w:rPr>
      </w:pPr>
    </w:p>
    <w:p w14:paraId="6C0CD5D2" w14:textId="32A2F3B7" w:rsidR="00510B0E" w:rsidRPr="0073497D" w:rsidRDefault="00510B0E" w:rsidP="00510B0E">
      <w:pPr>
        <w:pStyle w:val="ListParagraph"/>
        <w:ind w:left="1080"/>
        <w:rPr>
          <w:b/>
          <w:bCs/>
          <w:i/>
          <w:iCs/>
          <w:sz w:val="24"/>
          <w:szCs w:val="24"/>
        </w:rPr>
      </w:pPr>
      <w:r w:rsidRPr="0073497D">
        <w:rPr>
          <w:b/>
          <w:bCs/>
          <w:i/>
          <w:iCs/>
          <w:sz w:val="24"/>
          <w:szCs w:val="24"/>
        </w:rPr>
        <w:t>Представительство Абт Ассосиэйтс инк в Республике Таджикистан освобождено от уплаты НДС. Цены должны быть указаны без НДС</w:t>
      </w:r>
      <w:r w:rsidR="0073497D" w:rsidRPr="0073497D">
        <w:rPr>
          <w:b/>
          <w:bCs/>
          <w:i/>
          <w:iCs/>
          <w:sz w:val="24"/>
          <w:szCs w:val="24"/>
        </w:rPr>
        <w:t xml:space="preserve">, в случае если участник является НДС плательщиком НДС должен указываться отдельно от цены. </w:t>
      </w:r>
    </w:p>
    <w:p w14:paraId="1DE7FC97" w14:textId="52267D35" w:rsidR="0073497D" w:rsidRDefault="00E95841" w:rsidP="0073497D">
      <w:pPr>
        <w:ind w:left="720" w:hanging="720"/>
        <w:rPr>
          <w:b/>
          <w:bCs/>
          <w:sz w:val="24"/>
          <w:szCs w:val="24"/>
        </w:rPr>
      </w:pPr>
      <w:r w:rsidRPr="00E95841">
        <w:rPr>
          <w:b/>
          <w:bCs/>
          <w:sz w:val="24"/>
          <w:szCs w:val="24"/>
        </w:rPr>
        <w:t xml:space="preserve">           </w:t>
      </w:r>
      <w:r w:rsidR="0073497D">
        <w:rPr>
          <w:b/>
          <w:bCs/>
          <w:sz w:val="24"/>
          <w:szCs w:val="24"/>
        </w:rPr>
        <w:t xml:space="preserve">  Представительство Абт Ассосиэйтс инк в РТ имеет право на а) отклонение любого предложения, основываясь на несоблюдение требований, б)</w:t>
      </w:r>
      <w:r w:rsidR="009435FF">
        <w:rPr>
          <w:b/>
          <w:bCs/>
          <w:sz w:val="24"/>
          <w:szCs w:val="24"/>
        </w:rPr>
        <w:t xml:space="preserve"> </w:t>
      </w:r>
      <w:r w:rsidR="0073497D">
        <w:rPr>
          <w:b/>
          <w:bCs/>
          <w:sz w:val="24"/>
          <w:szCs w:val="24"/>
        </w:rPr>
        <w:t>продление сроков на предоставление коммерческих предложений, уведомляя об этом участников, в) заключение договора на часть товаров либо заключение несколько договоров</w:t>
      </w:r>
      <w:r w:rsidR="00D310DC">
        <w:rPr>
          <w:b/>
          <w:bCs/>
          <w:sz w:val="24"/>
          <w:szCs w:val="24"/>
        </w:rPr>
        <w:t xml:space="preserve"> с разными участниками </w:t>
      </w:r>
      <w:r w:rsidR="0015226D">
        <w:rPr>
          <w:b/>
          <w:bCs/>
          <w:sz w:val="24"/>
          <w:szCs w:val="24"/>
        </w:rPr>
        <w:t>конкурса</w:t>
      </w:r>
      <w:r w:rsidR="0073497D">
        <w:rPr>
          <w:b/>
          <w:bCs/>
          <w:sz w:val="24"/>
          <w:szCs w:val="24"/>
        </w:rPr>
        <w:t xml:space="preserve">. </w:t>
      </w:r>
    </w:p>
    <w:p w14:paraId="306C727F" w14:textId="46DD1EF1" w:rsidR="0073497D" w:rsidRDefault="0073497D" w:rsidP="0073497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Расходы на подготовку коммерческого предложения несут заявители. </w:t>
      </w:r>
    </w:p>
    <w:p w14:paraId="2BF8EBB4" w14:textId="41028D78" w:rsidR="0015226D" w:rsidRPr="0073497D" w:rsidRDefault="0015226D" w:rsidP="0073497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Подписывая данный технический раздел, участник тем самым выражает свое согласие с условиями конкурса </w:t>
      </w:r>
    </w:p>
    <w:p w14:paraId="5BF48C06" w14:textId="77777777" w:rsidR="00416BED" w:rsidRPr="00FF6BBB" w:rsidRDefault="00416BED" w:rsidP="00416BED">
      <w:pPr>
        <w:pStyle w:val="ListParagraph"/>
        <w:ind w:left="1080"/>
        <w:rPr>
          <w:b/>
          <w:bCs/>
          <w:sz w:val="24"/>
          <w:szCs w:val="24"/>
        </w:rPr>
      </w:pPr>
    </w:p>
    <w:p w14:paraId="7B4C06DD" w14:textId="77777777" w:rsidR="00EC42EA" w:rsidRDefault="00EC42EA">
      <w:pPr>
        <w:rPr>
          <w:sz w:val="20"/>
          <w:szCs w:val="20"/>
        </w:rPr>
      </w:pPr>
      <w:r>
        <w:rPr>
          <w:sz w:val="20"/>
          <w:szCs w:val="20"/>
        </w:rPr>
        <w:t>Ф,И,О, ____________________________________________Подпись                                                                                             Дата _____________________________________</w:t>
      </w:r>
    </w:p>
    <w:p w14:paraId="2EB04DC3" w14:textId="77777777" w:rsidR="00EC42EA" w:rsidRPr="00EC42EA" w:rsidRDefault="00EC42EA">
      <w:pPr>
        <w:rPr>
          <w:sz w:val="20"/>
          <w:szCs w:val="20"/>
        </w:rPr>
      </w:pPr>
      <w:r>
        <w:rPr>
          <w:sz w:val="20"/>
          <w:szCs w:val="20"/>
        </w:rPr>
        <w:t xml:space="preserve">Печать </w:t>
      </w:r>
    </w:p>
    <w:sectPr w:rsidR="00EC42EA" w:rsidRPr="00EC42EA" w:rsidSect="00E958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FB52" w14:textId="77777777" w:rsidR="0067048B" w:rsidRDefault="0067048B" w:rsidP="001B7522">
      <w:pPr>
        <w:spacing w:after="0" w:line="240" w:lineRule="auto"/>
      </w:pPr>
      <w:r>
        <w:separator/>
      </w:r>
    </w:p>
  </w:endnote>
  <w:endnote w:type="continuationSeparator" w:id="0">
    <w:p w14:paraId="253F0F0B" w14:textId="77777777" w:rsidR="0067048B" w:rsidRDefault="0067048B" w:rsidP="001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9C1E" w14:textId="77777777" w:rsidR="0015226D" w:rsidRDefault="00152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6AC1" w14:textId="77777777" w:rsidR="0015226D" w:rsidRDefault="00152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9528" w14:textId="77777777" w:rsidR="0015226D" w:rsidRDefault="00152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8CA7" w14:textId="77777777" w:rsidR="0067048B" w:rsidRDefault="0067048B" w:rsidP="001B7522">
      <w:pPr>
        <w:spacing w:after="0" w:line="240" w:lineRule="auto"/>
      </w:pPr>
      <w:r>
        <w:separator/>
      </w:r>
    </w:p>
  </w:footnote>
  <w:footnote w:type="continuationSeparator" w:id="0">
    <w:p w14:paraId="055B450B" w14:textId="77777777" w:rsidR="0067048B" w:rsidRDefault="0067048B" w:rsidP="001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0864" w14:textId="77777777" w:rsidR="0015226D" w:rsidRDefault="00152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7C71" w14:textId="77777777" w:rsidR="001B7522" w:rsidRDefault="001B7522" w:rsidP="001B7522">
    <w:pPr>
      <w:pStyle w:val="Header"/>
      <w:jc w:val="right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11A651CF" wp14:editId="349D21A1">
          <wp:extent cx="1019446" cy="487680"/>
          <wp:effectExtent l="0" t="0" r="9525" b="762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98" cy="49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CFCE26" w14:textId="77777777" w:rsidR="001B7522" w:rsidRDefault="001B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E095" w14:textId="77777777" w:rsidR="0015226D" w:rsidRDefault="00152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272"/>
    <w:multiLevelType w:val="hybridMultilevel"/>
    <w:tmpl w:val="51024C9E"/>
    <w:lvl w:ilvl="0" w:tplc="E8DC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774"/>
    <w:multiLevelType w:val="hybridMultilevel"/>
    <w:tmpl w:val="C9E0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1615">
    <w:abstractNumId w:val="2"/>
  </w:num>
  <w:num w:numId="2" w16cid:durableId="1267350411">
    <w:abstractNumId w:val="0"/>
  </w:num>
  <w:num w:numId="3" w16cid:durableId="1042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4"/>
    <w:rsid w:val="00006EEF"/>
    <w:rsid w:val="0003018F"/>
    <w:rsid w:val="00035ADE"/>
    <w:rsid w:val="000462D6"/>
    <w:rsid w:val="0005622B"/>
    <w:rsid w:val="00064BC4"/>
    <w:rsid w:val="00065120"/>
    <w:rsid w:val="000C4CB1"/>
    <w:rsid w:val="000D0A45"/>
    <w:rsid w:val="0015226D"/>
    <w:rsid w:val="00152AA6"/>
    <w:rsid w:val="00156FD2"/>
    <w:rsid w:val="00193DE5"/>
    <w:rsid w:val="001B7522"/>
    <w:rsid w:val="001F7262"/>
    <w:rsid w:val="00292A44"/>
    <w:rsid w:val="002A3065"/>
    <w:rsid w:val="002E134D"/>
    <w:rsid w:val="002E5D6D"/>
    <w:rsid w:val="002F684F"/>
    <w:rsid w:val="00311430"/>
    <w:rsid w:val="00311BD2"/>
    <w:rsid w:val="00350B06"/>
    <w:rsid w:val="00357250"/>
    <w:rsid w:val="00357F5F"/>
    <w:rsid w:val="003913C7"/>
    <w:rsid w:val="003A2C22"/>
    <w:rsid w:val="003E4F82"/>
    <w:rsid w:val="00416BED"/>
    <w:rsid w:val="00431F1B"/>
    <w:rsid w:val="004339C5"/>
    <w:rsid w:val="00442CE3"/>
    <w:rsid w:val="00462239"/>
    <w:rsid w:val="00471CB2"/>
    <w:rsid w:val="00487BB0"/>
    <w:rsid w:val="00490805"/>
    <w:rsid w:val="00497AA7"/>
    <w:rsid w:val="004D109E"/>
    <w:rsid w:val="004D5700"/>
    <w:rsid w:val="00510B0E"/>
    <w:rsid w:val="0054435C"/>
    <w:rsid w:val="00550D2C"/>
    <w:rsid w:val="005822F5"/>
    <w:rsid w:val="005871A3"/>
    <w:rsid w:val="005E03B7"/>
    <w:rsid w:val="006034B6"/>
    <w:rsid w:val="00610FB0"/>
    <w:rsid w:val="00642C2C"/>
    <w:rsid w:val="00652AF9"/>
    <w:rsid w:val="00663E84"/>
    <w:rsid w:val="0067048B"/>
    <w:rsid w:val="00680557"/>
    <w:rsid w:val="006F1A8C"/>
    <w:rsid w:val="0073497D"/>
    <w:rsid w:val="007526AC"/>
    <w:rsid w:val="00765846"/>
    <w:rsid w:val="00765A2E"/>
    <w:rsid w:val="0076700F"/>
    <w:rsid w:val="007B37EB"/>
    <w:rsid w:val="007D5679"/>
    <w:rsid w:val="00813144"/>
    <w:rsid w:val="00843900"/>
    <w:rsid w:val="00895101"/>
    <w:rsid w:val="008B0DB4"/>
    <w:rsid w:val="008D367D"/>
    <w:rsid w:val="008E4C6B"/>
    <w:rsid w:val="00902FB4"/>
    <w:rsid w:val="00910E5D"/>
    <w:rsid w:val="00912332"/>
    <w:rsid w:val="00916D44"/>
    <w:rsid w:val="00916E0F"/>
    <w:rsid w:val="009435FF"/>
    <w:rsid w:val="00950985"/>
    <w:rsid w:val="009743B6"/>
    <w:rsid w:val="009B3A15"/>
    <w:rsid w:val="009C0C09"/>
    <w:rsid w:val="009D3AEF"/>
    <w:rsid w:val="00A23425"/>
    <w:rsid w:val="00A418B5"/>
    <w:rsid w:val="00A61897"/>
    <w:rsid w:val="00A64645"/>
    <w:rsid w:val="00A83EE8"/>
    <w:rsid w:val="00A84829"/>
    <w:rsid w:val="00A869E2"/>
    <w:rsid w:val="00AA27D2"/>
    <w:rsid w:val="00AB69A8"/>
    <w:rsid w:val="00AE3BBE"/>
    <w:rsid w:val="00B36A12"/>
    <w:rsid w:val="00B6018C"/>
    <w:rsid w:val="00B83F5C"/>
    <w:rsid w:val="00BF73CE"/>
    <w:rsid w:val="00C20D73"/>
    <w:rsid w:val="00C26B0B"/>
    <w:rsid w:val="00C45E50"/>
    <w:rsid w:val="00CC7DD4"/>
    <w:rsid w:val="00CD1A1B"/>
    <w:rsid w:val="00CD7F3C"/>
    <w:rsid w:val="00D310DC"/>
    <w:rsid w:val="00D74BEC"/>
    <w:rsid w:val="00DE174F"/>
    <w:rsid w:val="00DF7398"/>
    <w:rsid w:val="00E1064B"/>
    <w:rsid w:val="00E25E4E"/>
    <w:rsid w:val="00E41260"/>
    <w:rsid w:val="00E434F7"/>
    <w:rsid w:val="00E5632F"/>
    <w:rsid w:val="00E759D5"/>
    <w:rsid w:val="00E83E0B"/>
    <w:rsid w:val="00E95841"/>
    <w:rsid w:val="00E973CF"/>
    <w:rsid w:val="00EB5A03"/>
    <w:rsid w:val="00EC42EA"/>
    <w:rsid w:val="00EE6235"/>
    <w:rsid w:val="00EF199A"/>
    <w:rsid w:val="00F30398"/>
    <w:rsid w:val="00F4677A"/>
    <w:rsid w:val="00F746D3"/>
    <w:rsid w:val="00F9029B"/>
    <w:rsid w:val="00FC13CC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849C"/>
  <w15:chartTrackingRefBased/>
  <w15:docId w15:val="{8A5D366D-B0B3-4557-B531-A4937E3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22"/>
  </w:style>
  <w:style w:type="paragraph" w:styleId="Footer">
    <w:name w:val="footer"/>
    <w:basedOn w:val="Normal"/>
    <w:link w:val="FooterChar"/>
    <w:uiPriority w:val="99"/>
    <w:unhideWhenUsed/>
    <w:rsid w:val="001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22"/>
  </w:style>
  <w:style w:type="paragraph" w:styleId="ListParagraph">
    <w:name w:val="List Paragraph"/>
    <w:basedOn w:val="Normal"/>
    <w:uiPriority w:val="34"/>
    <w:qFormat/>
    <w:rsid w:val="00FF6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3425"/>
  </w:style>
  <w:style w:type="character" w:customStyle="1" w:styleId="eop">
    <w:name w:val="eop"/>
    <w:basedOn w:val="DefaultParagraphFont"/>
    <w:rsid w:val="00A2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lovar.Mirrahmatov@abtgloba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hrob.Dodojonov@abtglob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FE600CCF61C45867B806871670166" ma:contentTypeVersion="" ma:contentTypeDescription="Create a new document." ma:contentTypeScope="" ma:versionID="640527302e4c3528c485726a0fd73d67">
  <xsd:schema xmlns:xsd="http://www.w3.org/2001/XMLSchema" xmlns:xs="http://www.w3.org/2001/XMLSchema" xmlns:p="http://schemas.microsoft.com/office/2006/metadata/properties" xmlns:ns2="2f56041e-c99a-491c-adbf-315301e1f8c5" xmlns:ns3="6c854b04-c9c6-4391-adbe-2e73191270e7" targetNamespace="http://schemas.microsoft.com/office/2006/metadata/properties" ma:root="true" ma:fieldsID="4c88d5242122b9e5c190a096b73c297b" ns2:_="" ns3:_="">
    <xsd:import namespace="2f56041e-c99a-491c-adbf-315301e1f8c5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6041e-c99a-491c-adbf-315301e1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fb6bd41-9309-4999-9f4c-8b6fcf64c2cb}" ma:internalName="TaxCatchAll" ma:showField="CatchAllData" ma:web="90268db3-78a5-49d8-8f64-fc53aef05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2f56041e-c99a-491c-adbf-315301e1f8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D4FA3-7B89-4585-8BC2-B2D4B9AB7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604DB-CD3B-4E9F-9D82-2BBE2BF9A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8CDD2-57CE-4B93-942E-C6409388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6041e-c99a-491c-adbf-315301e1f8c5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D0871-6AA7-4005-8588-4D1ED5AC7364}">
  <ds:schemaRefs>
    <ds:schemaRef ds:uri="http://schemas.microsoft.com/office/2006/metadata/properties"/>
    <ds:schemaRef ds:uri="http://schemas.microsoft.com/office/infopath/2007/PartnerControls"/>
    <ds:schemaRef ds:uri="6c854b04-c9c6-4391-adbe-2e73191270e7"/>
    <ds:schemaRef ds:uri="2f56041e-c99a-491c-adbf-315301e1f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Surayo Pulatova</dc:creator>
  <cp:keywords/>
  <dc:description/>
  <cp:lastModifiedBy>Suhrob Dodojonov</cp:lastModifiedBy>
  <cp:revision>32</cp:revision>
  <dcterms:created xsi:type="dcterms:W3CDTF">2024-05-23T09:48:00Z</dcterms:created>
  <dcterms:modified xsi:type="dcterms:W3CDTF">2024-12-24T11:12:00Z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0x010100B0CFE600CCF61C45867B806871670166</vt:lpwstr>
  </property>
  <property fmtid="{D5CDD505-2E9C-101B-9397-08002B2CF9AE}" pid="3" name="MediaServiceImageTags">
    <vt:lpwstr/>
  </property>
</Properties>
</file>