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8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КОНСАЛТИНГОВЫЕ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84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ЗАПРОС НА ВЫРАЖЕНИЕ ЗАИНТЕРЕСОВАННОСТИ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Республика Таджикистан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420" w:right="347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Государственное учреждение «Развити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предпринимательства в сельском хозяйстве»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Центр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управления проектами (ГУ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ЦУП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РПСХ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«Повышение устойчивости сельского хозяйства» (ПУСХ)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МАР (Международная ассоциация развития) Грант No: </w:t>
      </w:r>
      <w:r w:rsidDel="00000000" w:rsidR="00000000" w:rsidRPr="00000000">
        <w:rPr>
          <w:rFonts w:ascii="Times New Roman" w:cs="Times New Roman" w:eastAsia="Times New Roman" w:hAnsi="Times New Roman"/>
          <w:color w:val="3e4256"/>
          <w:rtl w:val="0"/>
        </w:rPr>
        <w:t xml:space="preserve">E1450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задания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Эксперт по информационным системам и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заявки: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SRASP-2024-0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-CS-INDV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85" w:lineRule="auto"/>
        <w:ind w:left="420" w:right="11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Проект направлен на поддержку Правительства Республики Таджикистан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в успешном переходе к устойчивой, более продуктивной, климатически устойчивой и инклюзивной модели роста сельскохозяйственного сектора. Предлагаемый проект поможет: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повысить доступность улучшенных семян, саженцев и посадочного материала, которые устойчивы к изменению климата, доступны по цене, предпочтительны для фермеров и хорошо адаптированы к различным агроэкологическим условиям Таджикистана;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расширение доступа фермеров и агропредприятий к улучшенным агрологистическим услугам;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9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укрепление антикризисного управления, т.е. раннего предупреждения, готовности и потенциала реагирования отдельных государственных учреждений.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220" w:line="27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Цели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28" w:lineRule="auto"/>
        <w:ind w:left="420" w:right="173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Эксперт по информационным системам и цифровизации играет ключевую роль в развитии информационной системы для аграрного сектора, обеспечивая соответствие системы требованиям заказчика, заинтересованных сторон и конечных пользователей. К основным задачам Эксперта по информационным системам и автоматизации относятся формирование и управление видением продукта, создание и приоритизация задач, работа с стейкхолдерами и исполнителями стейкхолдеров, определение критериев приемки, сбор и анализ обратной связи, а также мониторинг хода разработки. Совместно с Заказчиком Эксперт по информационным системам и автоматизации определяет цели системы, управляет перечнем требований, систематизируя его по приоритетности в зависимости от его важности и ценности для Заказчика. Он взаимодействует с ключевыми стейкхолдерами, привлекает консалтинговых и технических исполнителей, а также конечных пользователей для согласования изменений и уточнения требований, постоянно проверяя, соответствует ли разрабатываемая информационная система их ожиданиям и целям. Эксперт по информационным системам и автоматизации также устанавливает критерии качества и приемки, чтобы гарантировать выполнение задач на должном уровне, анализирует обратную связь для внесения улучшений и участвует в регулярных встречах с командой, контролируя прогресс разработки и корректируя курс при необходимости.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420" w:right="28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Эксперт по информационным системам и автоматизации будет подчиняться и работать под руководством заместителя директора/координатора проектов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ПУСХ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директора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ГУ ЦУП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РПСХ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 координатора компонента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Основными задачами эксперта по информационным системам и автоматизации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1. Формирование и управление концепцией информационной системы AMIS. Эксперт по информационным системам и автоматизации должен четко понимать стратегические цели, ключевые заинтересованные стороны и потребности конечных пользователей для разработки концепции информационной системы. Он отвечает за то, чтобы это видение было доведено до команды разработчиков, включая консультантов и технических исполнителей, объясняя, что именно нужно достичь с помощью продукта. Это включает в себя определение целей, пользовательских ценностей и долгосрочных перспектив использования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Создание и приоритизация перечня требований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Эксперт по информационным системам и автоматизации в первую очередь отвечает за создание и приоритизацию перечня требований к Информационной системе. Он представляет собой перечень задач, требований и функциональных элементов, которые необходимо реализовать для достижения видения программного продукта. Он систематизирует и расставляет приоритеты этих элементов в зависимости от их важности, стоимости и ожидаемой выгоды для Заказчика. на создание функций, которые обеспечивают наибольшую ценность для пользователей и ключевых заинтересованных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Взаимодействие с заинтересованными сторонами. Эксперт по информационным системам и автоматизации активно взаимодействует с заинтересованными сторонами для сбора их требований, ожиданий и комментариев. Он участвует в регулярных встречах и презентациях, на которых обсуждаются цели и планы по совершенствованию информационной системы. Важно, чтобы эксперт по информационным системам и автоматизации согласовывал все изменения с заинтересованными сторонами и учитывал их мнение, не теряя фокуса на основном видении и целях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Определение критериев приемки и качества. Одним из важных аспектов работы специалиста по информационным системам и автоматизации является установление критериев приемки задач и функций. Он отвечает за определение того, какие требования и качества должны быть соблюдены, чтобы работа была принята.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Обратная связь и итеративное улучшение. Эксперт по информационным системам и автоматизации должен постоянно анализировать обратную связь от пользователей, заинтересованных сторон и команды с целью улучшения программного продукта. На основе этой информации он может менять приоритеты в списке задач, уточнять требования или добавлять новые функции, что позволяет продукту быть более адаптированным к изменяющимся условиям и потребностям.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Мониторинг прогресса и координация. Эксперт по информационным системам и автоматизации должен следить за ходом разработки и своевременно вносить изменения. Он должен управлять планированием встреч с заинтересованными сторонами, исполнителями, быть в курсе текущих задач и корректировать ход проекта в случае необходимости.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9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Тренинги.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Эксперт по информационным системам и автоматизации обязан тесно сотрудничать с командой разработчиков при подготовке программы обучения для сотрудников Центра цифровизации при Министерстве сельского хозяйства и других партнеров, заинтересованных сторон. Эксперт сопровождает и контролирует процесс проведения тренингов, а также обязан быть в курсе планов тренингов для обеспечения соответствия результатов тренинга согласованному плану, стратегии и дизайну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47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и опыт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Минимальный университетский диплом в области информатики, математики или смежной области. Диплом или сертификат по цифровизации или управлению сельским хозяйством является преимуществом.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Не менее 3 лет подтвержденного опыта работы в области внедрения информационных технологий и автоматизации бизнес-процессов, разработки программного обеспечения. Опыт управления IT-проектами приветствуется. Дополнительный опыт работы в сельскохозяйственных проектах является преимуществом.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Диджитал-эксперт должен свободно владеть таджикским, русским и английским языками.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 подробным техническим заданием (ТЗ) на задание можно ознакомиться по следующей ссылке: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67" w:lineRule="auto"/>
        <w:ind w:left="780" w:firstLine="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https://aedpmu.tj/wp-content/uploads/2024/12/information-systems-expert-tor_draft-2.pdf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159" w:lineRule="auto"/>
        <w:ind w:left="420" w:right="114" w:firstLine="70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Консультанты будут отбираться в соответствии с процедурами, указанными в «Положении о закупках для заемщиков IPF» Всемирного банка от июля 2016 года, пересмотренном в сентябре 2023 года («Положение о закупках»), в котором изложена политика Всемирного банка в отношении конфликта интересов.«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55" w:lineRule="auto"/>
        <w:ind w:left="420" w:right="116" w:firstLine="71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Дополнительную информацию можно получить по указанному ниже адресу в рабочее время, т.е. с 08:00 до 17:00 по местному времени.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60" w:lineRule="auto"/>
        <w:ind w:left="420" w:right="115" w:firstLine="70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Выражения заинтересованности, включая резюме, должны быть отправлены на указанный ниже адрес электронной почты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17:00 часов по местному времени 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декабря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Вопросы (или просьбы о разъяснениях) можно отправить на указанный ниже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не позднее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декабря 2024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Отдел закупок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420" w:right="347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Отдел управления проектами Государственного института «Развитие предпринимательства в сельском хозяйстве» (ГУ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ЦУП РПСХ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Электронная почта: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none"/>
            <w:rtl w:val="0"/>
          </w:rPr>
          <w:t xml:space="preserve">aedpmu.hr@gmail.com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9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rsid w:val="0B6A3E67"/>
    <w:pPr>
      <w:keepNext w:val="1"/>
      <w:keepLines w:val="1"/>
      <w:spacing w:after="80" w:before="360"/>
      <w:outlineLvl w:val="0"/>
    </w:pPr>
    <w:rPr>
      <w:rFonts w:asciiTheme="majorHAnsi" w:cstheme="majorEastAsia" w:eastAsiaTheme="minorEastAsia" w:hAnsiTheme="majorHAnsi"/>
      <w:color w:val="0f4761" w:themeColor="accent1" w:themeShade="0000BF"/>
      <w:sz w:val="40"/>
      <w:szCs w:val="4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B6A3E67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B6A3E67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edpmu.tj/wp-content/uploads/2024/12/information-systems-expert-tor_draft-2.pdf" TargetMode="External"/><Relationship Id="rId8" Type="http://schemas.openxmlformats.org/officeDocument/2006/relationships/hyperlink" Target="mailto:aedpmu.hr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ce0+bePD9DlzFYQc5XDkuMKQA==">CgMxLjA4AHIhMVkxQVg4c2lNSE9iTUk1ZFpxcE5JMDZoNFhLZlNVNktO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2024-12-09T13:39:00Z</dcterms:created>
  <dc:creator>Karminahon Shukurova</dc:creator>
</cp:coreProperties>
</file>