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8D3D90">
        <w:trPr>
          <w:trHeight w:val="1988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4F382D7D" w14:textId="589CF691" w:rsidR="009404A7" w:rsidRDefault="008D3D90" w:rsidP="008D3D90">
            <w:pPr>
              <w:pStyle w:val="TableParagraph"/>
              <w:tabs>
                <w:tab w:val="left" w:pos="2904"/>
              </w:tabs>
              <w:jc w:val="both"/>
              <w:rPr>
                <w:lang w:val="en-US"/>
              </w:rPr>
            </w:pPr>
            <w:r w:rsidRPr="007664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F802FF" wp14:editId="4FE6F492">
                  <wp:simplePos x="0" y="0"/>
                  <wp:positionH relativeFrom="margin">
                    <wp:posOffset>5457190</wp:posOffset>
                  </wp:positionH>
                  <wp:positionV relativeFrom="paragraph">
                    <wp:posOffset>241935</wp:posOffset>
                  </wp:positionV>
                  <wp:extent cx="1323340" cy="700405"/>
                  <wp:effectExtent l="0" t="0" r="0" b="4445"/>
                  <wp:wrapTopAndBottom/>
                  <wp:docPr id="1593692281" name="Picture 159369228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54343" name="Picture 1243154343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FB708A" wp14:editId="2014BCB0">
                  <wp:simplePos x="0" y="0"/>
                  <wp:positionH relativeFrom="margin">
                    <wp:posOffset>3011170</wp:posOffset>
                  </wp:positionH>
                  <wp:positionV relativeFrom="paragraph">
                    <wp:posOffset>240030</wp:posOffset>
                  </wp:positionV>
                  <wp:extent cx="1852295" cy="783590"/>
                  <wp:effectExtent l="0" t="0" r="0" b="0"/>
                  <wp:wrapTopAndBottom/>
                  <wp:docPr id="1205581168" name="Picture 1205581168" descr="A logo with green squares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logo with green squares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ab/>
            </w:r>
          </w:p>
          <w:p w14:paraId="5BCF02F8" w14:textId="6D958F1D" w:rsidR="008D3D90" w:rsidRPr="009404A7" w:rsidRDefault="008D3D90" w:rsidP="008D3D90">
            <w:pPr>
              <w:pStyle w:val="TableParagraph"/>
              <w:tabs>
                <w:tab w:val="left" w:pos="2904"/>
              </w:tabs>
              <w:jc w:val="both"/>
              <w:rPr>
                <w:lang w:val="en-US"/>
              </w:rPr>
            </w:pPr>
            <w:r w:rsidRPr="00DC2E6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86A441" wp14:editId="5A2CE483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4445</wp:posOffset>
                  </wp:positionV>
                  <wp:extent cx="2145030" cy="856615"/>
                  <wp:effectExtent l="0" t="0" r="7620" b="635"/>
                  <wp:wrapNone/>
                  <wp:docPr id="1989000040" name="Picture 14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CF51EAE-5F1C-7062-5890-05172A78D9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05FC" w:rsidRPr="008D3D90" w14:paraId="0A6EB7AC" w14:textId="77777777" w:rsidTr="008D3D90">
        <w:trPr>
          <w:trHeight w:val="2285"/>
        </w:trPr>
        <w:tc>
          <w:tcPr>
            <w:tcW w:w="5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86E62" w14:textId="77777777" w:rsidR="000205FC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p w14:paraId="757E79D5" w14:textId="14D9DA6E" w:rsidR="008D3D90" w:rsidRPr="00AB0A9B" w:rsidRDefault="008D3D90" w:rsidP="00E039C6">
            <w:pPr>
              <w:pStyle w:val="TableParagraph"/>
              <w:jc w:val="both"/>
              <w:rPr>
                <w:sz w:val="6"/>
                <w:szCs w:val="6"/>
                <w:lang w:val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8D3D90" w14:paraId="51295727" w14:textId="77777777" w:rsidTr="008D3D90">
        <w:trPr>
          <w:trHeight w:val="737"/>
        </w:trPr>
        <w:tc>
          <w:tcPr>
            <w:tcW w:w="5578" w:type="dxa"/>
            <w:tcBorders>
              <w:right w:val="single" w:sz="4" w:space="0" w:color="auto"/>
            </w:tcBorders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AB0A9B" w:rsidRDefault="00705037" w:rsidP="00710903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 w:bidi="ru-RU"/>
              </w:rPr>
            </w:pPr>
          </w:p>
          <w:p w14:paraId="31614A8C" w14:textId="58CB04DD" w:rsidR="00A116D8" w:rsidRPr="004C78EA" w:rsidRDefault="00A116D8" w:rsidP="008D3D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bookmarkStart w:id="0" w:name="_Hlk169768392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05, Lot 1 "Development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detail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documentation, engineering-geodetic and geological surveys for the water supply system in the villages of </w:t>
            </w:r>
            <w:proofErr w:type="spellStart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Kholibek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proofErr w:type="spellStart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Shakhrisabz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proofErr w:type="spellStart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Obilurdi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Poion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and </w:t>
            </w:r>
            <w:proofErr w:type="spellStart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Khofizi</w:t>
            </w:r>
            <w:proofErr w:type="spellEnd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Sherazi,</w:t>
            </w:r>
            <w:r w:rsidR="0066069A" w:rsidRP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spellStart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Nurabad</w:t>
            </w:r>
            <w:proofErr w:type="spellEnd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district,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DRS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RT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</w:p>
          <w:bookmarkEnd w:id="0"/>
          <w:p w14:paraId="79574E53" w14:textId="77777777" w:rsidR="004D745C" w:rsidRPr="00C776EE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98ACA89" w14:textId="77777777" w:rsidR="0063127A" w:rsidRPr="00AB0A9B" w:rsidRDefault="0063127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AB0A9B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sz w:val="6"/>
                <w:szCs w:val="6"/>
                <w:lang w:val="en-GB"/>
              </w:rPr>
            </w:pPr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AB0A9B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2B7A6C9E" w14:textId="748F6ACD" w:rsidR="004D745C" w:rsidRPr="00A116D8" w:rsidRDefault="004C78EA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5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1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“Разработка проектно-сметной документации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(ПСД)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инженерно-геодезические и геологические изыскания для системы водоснабжения в селах </w:t>
            </w:r>
            <w:proofErr w:type="spellStart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Холибек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Шахрисабз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Обилурди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Поён и </w:t>
            </w:r>
            <w:proofErr w:type="spellStart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Хофизи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proofErr w:type="spellStart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Шерози</w:t>
            </w:r>
            <w:proofErr w:type="spellEnd"/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proofErr w:type="spellStart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Нурабадского</w:t>
            </w:r>
            <w:proofErr w:type="spellEnd"/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района,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РРП, 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РТ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”</w:t>
            </w:r>
          </w:p>
          <w:p w14:paraId="7F0CD54E" w14:textId="77777777" w:rsidR="00A116D8" w:rsidRPr="00AB0A9B" w:rsidRDefault="00A116D8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8D3D90" w14:paraId="635C839F" w14:textId="77777777" w:rsidTr="008D3D90">
        <w:trPr>
          <w:trHeight w:val="1349"/>
        </w:trPr>
        <w:tc>
          <w:tcPr>
            <w:tcW w:w="5578" w:type="dxa"/>
            <w:tcBorders>
              <w:right w:val="single" w:sz="4" w:space="0" w:color="auto"/>
            </w:tcBorders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AB0A9B" w:rsidRDefault="00DF4353" w:rsidP="000205FC">
            <w:pPr>
              <w:pStyle w:val="TableParagraph"/>
              <w:jc w:val="both"/>
              <w:rPr>
                <w:sz w:val="6"/>
                <w:szCs w:val="6"/>
                <w:lang w:val="en-US"/>
              </w:rPr>
            </w:pPr>
          </w:p>
          <w:p w14:paraId="7A1C6B32" w14:textId="4150DD8C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C776EE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Ju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ly</w:t>
            </w:r>
            <w:r w:rsidR="00443334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0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4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18138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Pr="008D3D90" w:rsidRDefault="00212114" w:rsidP="0018138E">
            <w:pPr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14:paraId="3199B201" w14:textId="7D910E45" w:rsidR="00293A1D" w:rsidRDefault="00293A1D" w:rsidP="0018138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18138E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18138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D063260" w14:textId="77777777" w:rsidR="004D37EB" w:rsidRPr="008D3D90" w:rsidRDefault="004D37EB" w:rsidP="00E61755">
            <w:pPr>
              <w:pStyle w:val="TableParagraph"/>
              <w:jc w:val="both"/>
              <w:rPr>
                <w:bCs/>
                <w:sz w:val="6"/>
                <w:szCs w:val="6"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Pr="008D3D90" w:rsidRDefault="001D2FBD" w:rsidP="00E61755">
            <w:pPr>
              <w:pStyle w:val="TableParagraph"/>
              <w:jc w:val="both"/>
              <w:rPr>
                <w:bCs/>
                <w:sz w:val="6"/>
                <w:szCs w:val="6"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8D3D90" w:rsidRDefault="00156189" w:rsidP="00E61755">
            <w:pPr>
              <w:pStyle w:val="TableParagraph"/>
              <w:jc w:val="both"/>
              <w:rPr>
                <w:sz w:val="6"/>
                <w:szCs w:val="6"/>
                <w:lang w:val="en-US"/>
              </w:rPr>
            </w:pPr>
          </w:p>
          <w:p w14:paraId="601AC7B2" w14:textId="7F531274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DE5B94">
              <w:rPr>
                <w:lang w:val="en-GB"/>
              </w:rPr>
              <w:t>20</w:t>
            </w:r>
            <w:r w:rsidRPr="004970B2">
              <w:rPr>
                <w:lang w:val="en-GB"/>
              </w:rPr>
              <w:t>/0</w:t>
            </w:r>
            <w:r w:rsidR="000C6768">
              <w:t>6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8D3D90" w:rsidRDefault="00E423B4" w:rsidP="003F1336">
            <w:pPr>
              <w:pStyle w:val="TableParagraph"/>
              <w:ind w:left="720"/>
              <w:jc w:val="both"/>
              <w:rPr>
                <w:sz w:val="6"/>
                <w:szCs w:val="6"/>
                <w:lang w:val="en-GB"/>
              </w:rPr>
            </w:pPr>
          </w:p>
          <w:p w14:paraId="0DDA5F4A" w14:textId="036860F5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Opening date of tender offers – 0</w:t>
            </w:r>
            <w:r w:rsidR="00DE5B94">
              <w:rPr>
                <w:lang w:val="en-US"/>
              </w:rPr>
              <w:t>4</w:t>
            </w:r>
            <w:r w:rsidRPr="004970B2">
              <w:rPr>
                <w:lang w:val="en-GB"/>
              </w:rPr>
              <w:t>/0</w:t>
            </w:r>
            <w:r w:rsidR="000C6768" w:rsidRPr="0000587D">
              <w:rPr>
                <w:lang w:val="en-US"/>
              </w:rPr>
              <w:t>7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8D3D90" w:rsidRDefault="00E423B4" w:rsidP="003F1336">
            <w:pPr>
              <w:pStyle w:val="TableParagraph"/>
              <w:jc w:val="both"/>
              <w:rPr>
                <w:sz w:val="6"/>
                <w:szCs w:val="6"/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8D3D90" w:rsidRDefault="00E423B4" w:rsidP="003F1336">
            <w:pPr>
              <w:pStyle w:val="TableParagraph"/>
              <w:ind w:left="360"/>
              <w:jc w:val="both"/>
              <w:rPr>
                <w:sz w:val="6"/>
                <w:szCs w:val="6"/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8D3D90" w:rsidRDefault="00E423B4" w:rsidP="003F1336">
            <w:pPr>
              <w:pStyle w:val="TableParagraph"/>
              <w:jc w:val="both"/>
              <w:rPr>
                <w:sz w:val="6"/>
                <w:szCs w:val="6"/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0A9B" w:rsidRDefault="00E61755" w:rsidP="008B52A9">
            <w:pPr>
              <w:pStyle w:val="TableParagraph"/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AB0A9B" w:rsidRDefault="004D745C" w:rsidP="004D745C">
            <w:pPr>
              <w:pStyle w:val="TableParagraph"/>
              <w:jc w:val="both"/>
              <w:rPr>
                <w:sz w:val="6"/>
                <w:szCs w:val="6"/>
              </w:rPr>
            </w:pPr>
          </w:p>
          <w:p w14:paraId="73514CDD" w14:textId="1121ACD6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C776EE" w:rsidRPr="00C776EE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4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ию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л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я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6400CEC" w:rsidR="00A36ED2" w:rsidRPr="0057085F" w:rsidRDefault="000205FC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085F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Рудаки, 34, Душанбе, Таджикистан</w:t>
            </w:r>
          </w:p>
          <w:p w14:paraId="7D83CDAE" w14:textId="77777777" w:rsidR="00793C9A" w:rsidRPr="008D3D90" w:rsidRDefault="00793C9A" w:rsidP="0057085F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6"/>
                <w:szCs w:val="6"/>
                <w:lang w:val="ru-RU"/>
              </w:rPr>
            </w:pPr>
          </w:p>
          <w:p w14:paraId="71B1DC51" w14:textId="45CBADC8" w:rsidR="0018138E" w:rsidRDefault="00821EBB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Замирова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5,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Хорог</w:t>
            </w:r>
            <w:proofErr w:type="spellEnd"/>
            <w:r w:rsidRPr="0057085F">
              <w:rPr>
                <w:rFonts w:ascii="Times New Roman" w:hAnsi="Times New Roman" w:cs="Times New Roman"/>
                <w:bCs/>
              </w:rPr>
              <w:t xml:space="preserve">, ГБАО, </w:t>
            </w:r>
            <w:proofErr w:type="spellStart"/>
            <w:r w:rsidRPr="0057085F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6F4F757B" w14:textId="77777777" w:rsidR="0057085F" w:rsidRPr="0057085F" w:rsidRDefault="0057085F" w:rsidP="0057085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1716DBA" w14:textId="7E118B2E" w:rsidR="00443334" w:rsidRPr="00DE5B94" w:rsidRDefault="00956E71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E5B94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8D3D90" w:rsidRDefault="00443334" w:rsidP="000205FC">
            <w:pPr>
              <w:rPr>
                <w:rFonts w:ascii="Times New Roman" w:hAnsi="Times New Roman" w:cs="Times New Roman"/>
                <w:b/>
                <w:sz w:val="6"/>
                <w:szCs w:val="6"/>
                <w:lang w:val="ru-RU"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t xml:space="preserve">Церемония открытия тендера состоится в офисе в Душанбе, а другие офисы будут подключены </w:t>
            </w: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удаленно.</w:t>
            </w:r>
          </w:p>
          <w:p w14:paraId="3D1F3AF4" w14:textId="77777777" w:rsidR="003A7761" w:rsidRPr="008D3D90" w:rsidRDefault="003A7761" w:rsidP="008542E4">
            <w:pPr>
              <w:pStyle w:val="TableParagraph"/>
              <w:jc w:val="both"/>
              <w:rPr>
                <w:rFonts w:eastAsiaTheme="minorHAnsi"/>
                <w:bCs/>
                <w:sz w:val="6"/>
                <w:szCs w:val="6"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8D3D90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  <w:sz w:val="6"/>
                <w:szCs w:val="6"/>
              </w:rPr>
            </w:pPr>
          </w:p>
          <w:p w14:paraId="56030E47" w14:textId="5284EAB6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DE5B94" w:rsidRPr="00DE5B94">
              <w:t>20</w:t>
            </w:r>
            <w:r>
              <w:t>/0</w:t>
            </w:r>
            <w:r w:rsidR="000C6768">
              <w:t>6</w:t>
            </w:r>
            <w:r>
              <w:t>/2024</w:t>
            </w:r>
          </w:p>
          <w:p w14:paraId="6DD12DB5" w14:textId="77777777" w:rsidR="00E423B4" w:rsidRPr="008D3D90" w:rsidRDefault="00E423B4" w:rsidP="004F71CB">
            <w:pPr>
              <w:pStyle w:val="TableParagraph"/>
              <w:ind w:left="360"/>
              <w:jc w:val="both"/>
              <w:rPr>
                <w:sz w:val="6"/>
                <w:szCs w:val="6"/>
              </w:rPr>
            </w:pPr>
          </w:p>
          <w:p w14:paraId="4E47ADB5" w14:textId="32695B56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открытия тендерных предложений - 0</w:t>
            </w:r>
            <w:r w:rsidR="00DE5B94" w:rsidRPr="00DE5B94">
              <w:t>4</w:t>
            </w:r>
            <w:r>
              <w:t>/0</w:t>
            </w:r>
            <w:r w:rsidR="000C6768">
              <w:t>7</w:t>
            </w:r>
            <w:r>
              <w:t>/2024</w:t>
            </w:r>
          </w:p>
          <w:p w14:paraId="3986C70A" w14:textId="77777777" w:rsidR="00E423B4" w:rsidRPr="008D3D90" w:rsidRDefault="00E423B4" w:rsidP="004F71CB">
            <w:pPr>
              <w:pStyle w:val="TableParagraph"/>
              <w:jc w:val="both"/>
              <w:rPr>
                <w:sz w:val="6"/>
                <w:szCs w:val="6"/>
              </w:rPr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8D3D90" w:rsidRDefault="00E423B4" w:rsidP="004F71CB">
            <w:pPr>
              <w:pStyle w:val="TableParagraph"/>
              <w:jc w:val="both"/>
              <w:rPr>
                <w:sz w:val="6"/>
                <w:szCs w:val="6"/>
              </w:rPr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8D3D90" w:rsidRDefault="00E423B4" w:rsidP="004F71CB">
            <w:pPr>
              <w:pStyle w:val="TableParagraph"/>
              <w:ind w:left="360"/>
              <w:jc w:val="both"/>
              <w:rPr>
                <w:sz w:val="6"/>
                <w:szCs w:val="6"/>
                <w:u w:val="single"/>
              </w:rPr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8D3D90" w14:paraId="6AF0046C" w14:textId="77777777" w:rsidTr="008D3D90">
        <w:trPr>
          <w:trHeight w:val="1430"/>
        </w:trPr>
        <w:tc>
          <w:tcPr>
            <w:tcW w:w="5578" w:type="dxa"/>
            <w:tcBorders>
              <w:right w:val="single" w:sz="4" w:space="0" w:color="auto"/>
            </w:tcBorders>
            <w:shd w:val="clear" w:color="auto" w:fill="auto"/>
          </w:tcPr>
          <w:p w14:paraId="0AAE7827" w14:textId="6318934A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10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AD2737" w:rsidRPr="00AD2737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>on Ju</w:t>
            </w:r>
            <w:r w:rsidR="00AD2737">
              <w:rPr>
                <w:b/>
                <w:bCs/>
                <w:spacing w:val="-3"/>
                <w:lang w:val="en-US"/>
              </w:rPr>
              <w:t>ly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545D11">
              <w:rPr>
                <w:b/>
                <w:bCs/>
                <w:spacing w:val="-3"/>
                <w:lang w:val="en-US"/>
              </w:rPr>
              <w:t>03</w:t>
            </w:r>
            <w:r w:rsidR="00545D11" w:rsidRPr="00724895">
              <w:rPr>
                <w:b/>
                <w:bCs/>
                <w:spacing w:val="-3"/>
                <w:vertAlign w:val="superscript"/>
                <w:lang w:val="en-US"/>
              </w:rPr>
              <w:t>rd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auto"/>
          </w:tcPr>
          <w:p w14:paraId="62442298" w14:textId="68F137E0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AD2737" w:rsidRPr="00AD2737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AD2737" w:rsidRPr="00AD2737">
              <w:rPr>
                <w:b/>
                <w:bCs/>
              </w:rPr>
              <w:t>03</w:t>
            </w:r>
            <w:r w:rsidRPr="00724895">
              <w:rPr>
                <w:b/>
                <w:bCs/>
              </w:rPr>
              <w:t xml:space="preserve"> </w:t>
            </w:r>
            <w:r w:rsidR="002F0345" w:rsidRPr="00724895">
              <w:rPr>
                <w:b/>
                <w:bCs/>
              </w:rPr>
              <w:t>ию</w:t>
            </w:r>
            <w:r w:rsidR="00AD2737">
              <w:rPr>
                <w:b/>
                <w:bCs/>
              </w:rPr>
              <w:t>л</w:t>
            </w:r>
            <w:r w:rsidR="002F0345" w:rsidRPr="00724895">
              <w:rPr>
                <w:b/>
                <w:bCs/>
              </w:rPr>
              <w:t>я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8D3D90" w14:paraId="4A08B53B" w14:textId="77777777" w:rsidTr="008D3D90">
        <w:trPr>
          <w:trHeight w:val="1133"/>
        </w:trPr>
        <w:tc>
          <w:tcPr>
            <w:tcW w:w="5578" w:type="dxa"/>
            <w:tcBorders>
              <w:right w:val="single" w:sz="4" w:space="0" w:color="auto"/>
            </w:tcBorders>
            <w:shd w:val="clear" w:color="auto" w:fill="auto"/>
          </w:tcPr>
          <w:p w14:paraId="370EA14A" w14:textId="75B7FFA8" w:rsidR="00D06804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  <w:hyperlink r:id="rId11" w:history="1">
              <w:r w:rsidR="008D3D90" w:rsidRPr="0052590A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Pr="00975E92">
              <w:rPr>
                <w:spacing w:val="-3"/>
                <w:lang w:val="en-US"/>
              </w:rPr>
              <w:t xml:space="preserve"> (Folder name: </w:t>
            </w:r>
            <w:r w:rsidR="00AD2737" w:rsidRPr="00AD2737">
              <w:rPr>
                <w:b/>
                <w:bCs/>
                <w:i/>
                <w:iCs/>
                <w:spacing w:val="-3"/>
                <w:lang w:val="en-US"/>
              </w:rPr>
              <w:t xml:space="preserve">ICR 05 a Lot 1-WSS </w:t>
            </w:r>
            <w:proofErr w:type="spellStart"/>
            <w:r w:rsidR="00AD2737" w:rsidRPr="00AD2737">
              <w:rPr>
                <w:b/>
                <w:bCs/>
                <w:i/>
                <w:iCs/>
                <w:spacing w:val="-3"/>
                <w:lang w:val="en-US"/>
              </w:rPr>
              <w:t>Nurabad</w:t>
            </w:r>
            <w:proofErr w:type="spellEnd"/>
            <w:r w:rsidR="00AD2737" w:rsidRPr="00AD2737">
              <w:rPr>
                <w:b/>
                <w:bCs/>
                <w:i/>
                <w:iCs/>
                <w:spacing w:val="-3"/>
                <w:lang w:val="en-US"/>
              </w:rPr>
              <w:t>-dd</w:t>
            </w:r>
            <w:r w:rsidR="00B23BD4" w:rsidRP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  <w:r w:rsidR="008D3D90">
              <w:rPr>
                <w:spacing w:val="-3"/>
                <w:lang w:val="en-US"/>
              </w:rPr>
              <w:t xml:space="preserve"> </w:t>
            </w:r>
            <w:r w:rsidRPr="00E34ECD">
              <w:rPr>
                <w:spacing w:val="-3"/>
                <w:lang w:val="en-US"/>
              </w:rPr>
              <w:t>or scan the QR code:</w:t>
            </w:r>
          </w:p>
          <w:p w14:paraId="7070525D" w14:textId="77777777" w:rsidR="008D3D90" w:rsidRPr="008D3D90" w:rsidRDefault="008D3D9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auto"/>
          </w:tcPr>
          <w:p w14:paraId="7A76C2D3" w14:textId="4B713ED3" w:rsidR="00D06804" w:rsidRPr="008D3D90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  <w:hyperlink r:id="rId13" w:history="1">
              <w:r w:rsidR="008D3D90" w:rsidRPr="0052590A">
                <w:rPr>
                  <w:rStyle w:val="Hyperlink"/>
                  <w:lang w:val="en-US"/>
                </w:rPr>
                <w:t>www</w:t>
              </w:r>
              <w:r w:rsidR="008D3D90" w:rsidRPr="0052590A">
                <w:rPr>
                  <w:rStyle w:val="Hyperlink"/>
                </w:rPr>
                <w:t>.</w:t>
              </w:r>
              <w:r w:rsidR="008D3D90" w:rsidRPr="0052590A">
                <w:rPr>
                  <w:rStyle w:val="Hyperlink"/>
                  <w:lang w:val="en-US"/>
                </w:rPr>
                <w:t>akahdocs</w:t>
              </w:r>
              <w:r w:rsidR="008D3D90" w:rsidRPr="0052590A">
                <w:rPr>
                  <w:rStyle w:val="Hyperlink"/>
                </w:rPr>
                <w:t>.</w:t>
              </w:r>
              <w:r w:rsidR="008D3D90" w:rsidRPr="0052590A">
                <w:rPr>
                  <w:rStyle w:val="Hyperlink"/>
                  <w:lang w:val="en-US"/>
                </w:rPr>
                <w:t>tj</w:t>
              </w:r>
            </w:hyperlink>
            <w:r w:rsidRPr="008D3D90">
              <w:t xml:space="preserve"> (</w:t>
            </w:r>
            <w:r w:rsidR="00975E92" w:rsidRPr="00975E92">
              <w:t>Папка</w:t>
            </w:r>
            <w:r w:rsidR="00975E92" w:rsidRPr="008D3D90">
              <w:t>: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ICR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0</w:t>
            </w:r>
            <w:r w:rsidR="00AD2737" w:rsidRPr="008D3D90">
              <w:rPr>
                <w:b/>
                <w:bCs/>
                <w:i/>
                <w:iCs/>
                <w:spacing w:val="-3"/>
              </w:rPr>
              <w:t>5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a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Lot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</w:t>
            </w:r>
            <w:r w:rsidR="00AD2737" w:rsidRPr="008D3D90">
              <w:rPr>
                <w:b/>
                <w:bCs/>
                <w:i/>
                <w:iCs/>
                <w:spacing w:val="-3"/>
              </w:rPr>
              <w:t>1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>-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WSS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 xml:space="preserve"> </w:t>
            </w:r>
            <w:proofErr w:type="spellStart"/>
            <w:r w:rsidR="00AD2737">
              <w:rPr>
                <w:b/>
                <w:bCs/>
                <w:i/>
                <w:iCs/>
                <w:spacing w:val="-3"/>
                <w:lang w:val="en-US"/>
              </w:rPr>
              <w:t>Nurabad</w:t>
            </w:r>
            <w:proofErr w:type="spellEnd"/>
            <w:r w:rsidR="00975E92" w:rsidRPr="008D3D90">
              <w:rPr>
                <w:b/>
                <w:bCs/>
                <w:i/>
                <w:iCs/>
                <w:spacing w:val="-3"/>
              </w:rPr>
              <w:t>-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dd</w:t>
            </w:r>
            <w:r w:rsidR="00975E92" w:rsidRPr="008D3D90">
              <w:rPr>
                <w:b/>
                <w:bCs/>
                <w:i/>
                <w:iCs/>
                <w:spacing w:val="-3"/>
              </w:rPr>
              <w:t>)</w:t>
            </w:r>
            <w:r w:rsidR="008D3D90" w:rsidRPr="008D3D90"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1AEE3845" w:rsidR="00522490" w:rsidRPr="004B4D7A" w:rsidRDefault="00522490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2490" w:rsidRPr="004B4D7A" w:rsidSect="008D3D90">
      <w:headerReference w:type="default" r:id="rId14"/>
      <w:pgSz w:w="12240" w:h="15840"/>
      <w:pgMar w:top="284" w:right="1440" w:bottom="127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2A57" w14:textId="77777777" w:rsidR="002A3DD2" w:rsidRDefault="002A3DD2" w:rsidP="00980407">
      <w:pPr>
        <w:spacing w:after="0" w:line="240" w:lineRule="auto"/>
      </w:pPr>
      <w:r>
        <w:separator/>
      </w:r>
    </w:p>
  </w:endnote>
  <w:endnote w:type="continuationSeparator" w:id="0">
    <w:p w14:paraId="259E6089" w14:textId="77777777" w:rsidR="002A3DD2" w:rsidRDefault="002A3DD2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A237" w14:textId="77777777" w:rsidR="002A3DD2" w:rsidRDefault="002A3DD2" w:rsidP="00980407">
      <w:pPr>
        <w:spacing w:after="0" w:line="240" w:lineRule="auto"/>
      </w:pPr>
      <w:r>
        <w:separator/>
      </w:r>
    </w:p>
  </w:footnote>
  <w:footnote w:type="continuationSeparator" w:id="0">
    <w:p w14:paraId="1DF2E184" w14:textId="77777777" w:rsidR="002A3DD2" w:rsidRDefault="002A3DD2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68DFA1EE" w:rsidR="00455B76" w:rsidRDefault="00A95884">
    <w:pPr>
      <w:pStyle w:val="Header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077"/>
    <w:multiLevelType w:val="hybridMultilevel"/>
    <w:tmpl w:val="5B0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19"/>
  </w:num>
  <w:num w:numId="5" w16cid:durableId="1161888238">
    <w:abstractNumId w:val="2"/>
  </w:num>
  <w:num w:numId="6" w16cid:durableId="1676490829">
    <w:abstractNumId w:val="15"/>
  </w:num>
  <w:num w:numId="7" w16cid:durableId="1490832271">
    <w:abstractNumId w:val="21"/>
  </w:num>
  <w:num w:numId="8" w16cid:durableId="1184250790">
    <w:abstractNumId w:val="12"/>
  </w:num>
  <w:num w:numId="9" w16cid:durableId="846796171">
    <w:abstractNumId w:val="1"/>
  </w:num>
  <w:num w:numId="10" w16cid:durableId="343552560">
    <w:abstractNumId w:val="14"/>
  </w:num>
  <w:num w:numId="11" w16cid:durableId="185237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5"/>
  </w:num>
  <w:num w:numId="16" w16cid:durableId="735592545">
    <w:abstractNumId w:val="20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2125952111">
    <w:abstractNumId w:val="0"/>
  </w:num>
  <w:num w:numId="21" w16cid:durableId="1574194655">
    <w:abstractNumId w:val="6"/>
  </w:num>
  <w:num w:numId="22" w16cid:durableId="276108794">
    <w:abstractNumId w:val="4"/>
  </w:num>
  <w:num w:numId="23" w16cid:durableId="157740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3679"/>
    <w:rsid w:val="000256B4"/>
    <w:rsid w:val="000279ED"/>
    <w:rsid w:val="0004070B"/>
    <w:rsid w:val="00046889"/>
    <w:rsid w:val="00047F09"/>
    <w:rsid w:val="00050993"/>
    <w:rsid w:val="00054777"/>
    <w:rsid w:val="0005506B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138E"/>
    <w:rsid w:val="00182141"/>
    <w:rsid w:val="00190F52"/>
    <w:rsid w:val="001A5DE6"/>
    <w:rsid w:val="001A6A6C"/>
    <w:rsid w:val="001A6DA6"/>
    <w:rsid w:val="001C1F9D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380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A3DD2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44FFA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19CB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45D11"/>
    <w:rsid w:val="00555F4F"/>
    <w:rsid w:val="005650CB"/>
    <w:rsid w:val="0057085F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1528F"/>
    <w:rsid w:val="00623B45"/>
    <w:rsid w:val="00627B30"/>
    <w:rsid w:val="00630787"/>
    <w:rsid w:val="0063127A"/>
    <w:rsid w:val="00631672"/>
    <w:rsid w:val="0063541F"/>
    <w:rsid w:val="0064355A"/>
    <w:rsid w:val="00653A10"/>
    <w:rsid w:val="00653FAB"/>
    <w:rsid w:val="00654545"/>
    <w:rsid w:val="0066069A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659EA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2DC0"/>
    <w:rsid w:val="008D3D9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07F2F"/>
    <w:rsid w:val="009104A6"/>
    <w:rsid w:val="0091417D"/>
    <w:rsid w:val="00914D14"/>
    <w:rsid w:val="00914EC6"/>
    <w:rsid w:val="00915226"/>
    <w:rsid w:val="00923367"/>
    <w:rsid w:val="00926B97"/>
    <w:rsid w:val="00930440"/>
    <w:rsid w:val="00931BB1"/>
    <w:rsid w:val="00932087"/>
    <w:rsid w:val="009404A7"/>
    <w:rsid w:val="0095082C"/>
    <w:rsid w:val="00950DEA"/>
    <w:rsid w:val="00956E71"/>
    <w:rsid w:val="009606BB"/>
    <w:rsid w:val="00962F0C"/>
    <w:rsid w:val="00964C07"/>
    <w:rsid w:val="009738AC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116D8"/>
    <w:rsid w:val="00A224DB"/>
    <w:rsid w:val="00A244E4"/>
    <w:rsid w:val="00A24F70"/>
    <w:rsid w:val="00A253B5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0A9B"/>
    <w:rsid w:val="00AB2B28"/>
    <w:rsid w:val="00AB63FC"/>
    <w:rsid w:val="00AB693D"/>
    <w:rsid w:val="00AD07A0"/>
    <w:rsid w:val="00AD17DC"/>
    <w:rsid w:val="00AD2724"/>
    <w:rsid w:val="00AD2737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776EE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E62CC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E5B94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27E7"/>
    <w:rsid w:val="00FA4D84"/>
    <w:rsid w:val="00FA5268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kahdocs.t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kahtjk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Sardor Mohiev</cp:lastModifiedBy>
  <cp:revision>5</cp:revision>
  <dcterms:created xsi:type="dcterms:W3CDTF">2024-06-21T03:51:00Z</dcterms:created>
  <dcterms:modified xsi:type="dcterms:W3CDTF">2024-06-21T03:57:00Z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