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56"/>
        <w:gridCol w:w="2110"/>
        <w:gridCol w:w="3243"/>
        <w:gridCol w:w="1418"/>
        <w:gridCol w:w="1701"/>
        <w:gridCol w:w="1807"/>
      </w:tblGrid>
      <w:tr w:rsidR="00916D44" w:rsidRPr="00916D44" w14:paraId="6A1DC1A6" w14:textId="77777777" w:rsidTr="00916D44">
        <w:trPr>
          <w:trHeight w:val="416"/>
        </w:trPr>
        <w:tc>
          <w:tcPr>
            <w:tcW w:w="12753" w:type="dxa"/>
            <w:gridSpan w:val="6"/>
            <w:shd w:val="clear" w:color="auto" w:fill="FFC000"/>
            <w:noWrap/>
            <w:hideMark/>
          </w:tcPr>
          <w:p w14:paraId="2D13AF8A" w14:textId="0E77D6A2" w:rsidR="00916D44" w:rsidRPr="00BE4846" w:rsidRDefault="00916D44" w:rsidP="00916D44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РАЗДЕЛ I:</w:t>
            </w:r>
            <w:r w:rsidRPr="00916D44">
              <w:rPr>
                <w:sz w:val="20"/>
                <w:szCs w:val="20"/>
              </w:rPr>
              <w:t xml:space="preserve"> </w:t>
            </w:r>
            <w:r w:rsidRPr="00916D44">
              <w:rPr>
                <w:b/>
                <w:bCs/>
                <w:sz w:val="20"/>
                <w:szCs w:val="20"/>
              </w:rPr>
              <w:t xml:space="preserve">ТЕХНИЧЕСКИЕ СПЕЦИФИКАЦИИ И ЦЕНОВОЕ ПРЕДЛОЖЕНИЕ                       </w:t>
            </w:r>
            <w:r w:rsidRPr="00916D44">
              <w:rPr>
                <w:b/>
                <w:sz w:val="20"/>
                <w:szCs w:val="20"/>
              </w:rPr>
              <w:t>RFQ – USAID/</w:t>
            </w:r>
            <w:r w:rsidR="00BE4846">
              <w:rPr>
                <w:b/>
                <w:sz w:val="20"/>
                <w:szCs w:val="20"/>
                <w:lang w:val="en-US"/>
              </w:rPr>
              <w:t>LHSS</w:t>
            </w:r>
            <w:r w:rsidR="008B6520" w:rsidRPr="008B6520">
              <w:rPr>
                <w:b/>
                <w:sz w:val="20"/>
                <w:szCs w:val="20"/>
              </w:rPr>
              <w:t>-</w:t>
            </w:r>
            <w:r w:rsidR="008B6520">
              <w:rPr>
                <w:b/>
                <w:sz w:val="20"/>
                <w:szCs w:val="20"/>
                <w:lang w:val="en-US"/>
              </w:rPr>
              <w:t>GHS</w:t>
            </w:r>
            <w:r w:rsidRPr="00916D44">
              <w:rPr>
                <w:b/>
                <w:sz w:val="20"/>
                <w:szCs w:val="20"/>
              </w:rPr>
              <w:t xml:space="preserve"> – 00</w:t>
            </w:r>
            <w:r w:rsidR="00F370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7" w:type="dxa"/>
            <w:shd w:val="clear" w:color="auto" w:fill="FFC000"/>
            <w:noWrap/>
            <w:hideMark/>
          </w:tcPr>
          <w:p w14:paraId="67420098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6D44" w:rsidRPr="00916D44" w14:paraId="6315A935" w14:textId="77777777" w:rsidTr="00FE3D39">
        <w:trPr>
          <w:trHeight w:val="593"/>
        </w:trPr>
        <w:tc>
          <w:tcPr>
            <w:tcW w:w="1525" w:type="dxa"/>
            <w:hideMark/>
          </w:tcPr>
          <w:p w14:paraId="129AF5DE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6D44">
              <w:rPr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599" w:type="dxa"/>
            <w:hideMark/>
          </w:tcPr>
          <w:p w14:paraId="5DD70317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перечень</w:t>
            </w:r>
          </w:p>
        </w:tc>
        <w:tc>
          <w:tcPr>
            <w:tcW w:w="2110" w:type="dxa"/>
            <w:hideMark/>
          </w:tcPr>
          <w:p w14:paraId="1C9E6119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размеры</w:t>
            </w:r>
          </w:p>
        </w:tc>
        <w:tc>
          <w:tcPr>
            <w:tcW w:w="4400" w:type="dxa"/>
            <w:hideMark/>
          </w:tcPr>
          <w:p w14:paraId="02FFCA76" w14:textId="694B3BDB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 xml:space="preserve">Технические спецификации </w:t>
            </w:r>
            <w:r w:rsidR="00BE4846">
              <w:rPr>
                <w:b/>
                <w:bCs/>
                <w:sz w:val="20"/>
                <w:szCs w:val="20"/>
              </w:rPr>
              <w:t>и назначения</w:t>
            </w:r>
          </w:p>
        </w:tc>
        <w:tc>
          <w:tcPr>
            <w:tcW w:w="1418" w:type="dxa"/>
            <w:noWrap/>
            <w:hideMark/>
          </w:tcPr>
          <w:p w14:paraId="2A06C432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701" w:type="dxa"/>
            <w:hideMark/>
          </w:tcPr>
          <w:p w14:paraId="60A175E6" w14:textId="77777777" w:rsidR="00916D44" w:rsidRPr="00916D44" w:rsidRDefault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Цена</w:t>
            </w:r>
            <w:r w:rsidRPr="00916D44">
              <w:rPr>
                <w:b/>
                <w:bCs/>
                <w:sz w:val="20"/>
                <w:szCs w:val="20"/>
              </w:rPr>
              <w:br/>
              <w:t xml:space="preserve"> (за единицу) TJS</w:t>
            </w:r>
          </w:p>
        </w:tc>
        <w:tc>
          <w:tcPr>
            <w:tcW w:w="1807" w:type="dxa"/>
            <w:hideMark/>
          </w:tcPr>
          <w:p w14:paraId="2D34F131" w14:textId="77777777" w:rsidR="00916D44" w:rsidRPr="00916D44" w:rsidRDefault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цена общая (TJS)</w:t>
            </w:r>
          </w:p>
        </w:tc>
      </w:tr>
      <w:tr w:rsidR="00916D44" w:rsidRPr="00916D44" w14:paraId="100EFE21" w14:textId="77777777" w:rsidTr="00BF609A">
        <w:trPr>
          <w:trHeight w:val="2645"/>
        </w:trPr>
        <w:tc>
          <w:tcPr>
            <w:tcW w:w="1525" w:type="dxa"/>
            <w:hideMark/>
          </w:tcPr>
          <w:p w14:paraId="5109503D" w14:textId="4DE43F90" w:rsidR="00916D44" w:rsidRPr="00E33FDC" w:rsidRDefault="007245E6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245E6">
              <w:rPr>
                <w:rFonts w:ascii="Calibri" w:hAnsi="Calibri" w:cs="Calibri"/>
                <w:b/>
                <w:bCs/>
                <w:color w:val="000000"/>
                <w:lang w:val="en-US"/>
              </w:rPr>
              <w:t>Voltammetric</w:t>
            </w:r>
            <w:proofErr w:type="spellEnd"/>
            <w:r w:rsidRPr="007245E6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analyzer TA-Lab</w:t>
            </w:r>
            <w:r w:rsidR="00F07CF3" w:rsidRPr="00E33FDC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599" w:type="dxa"/>
            <w:hideMark/>
          </w:tcPr>
          <w:p w14:paraId="6D5802E8" w14:textId="1376B27B" w:rsidR="00916D44" w:rsidRPr="00916D44" w:rsidRDefault="004A0D0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A0D00">
              <w:rPr>
                <w:rFonts w:ascii="Calibri" w:hAnsi="Calibri" w:cs="Calibri"/>
                <w:b/>
                <w:bCs/>
                <w:color w:val="000000"/>
              </w:rPr>
              <w:t>Вольтамперометрический</w:t>
            </w:r>
            <w:proofErr w:type="spellEnd"/>
            <w:r w:rsidRPr="004A0D00">
              <w:rPr>
                <w:rFonts w:ascii="Calibri" w:hAnsi="Calibri" w:cs="Calibri"/>
                <w:b/>
                <w:bCs/>
                <w:color w:val="000000"/>
              </w:rPr>
              <w:t xml:space="preserve"> анализатор ТА-Lab</w:t>
            </w:r>
            <w:r w:rsidRPr="007D283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F07CF3" w:rsidRPr="00F07CF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10" w:type="dxa"/>
            <w:hideMark/>
          </w:tcPr>
          <w:p w14:paraId="356C9612" w14:textId="77777777" w:rsidR="001D3A67" w:rsidRPr="001D3A67" w:rsidRDefault="001D3A67" w:rsidP="001D3A67">
            <w:pPr>
              <w:rPr>
                <w:sz w:val="20"/>
                <w:szCs w:val="20"/>
              </w:rPr>
            </w:pPr>
            <w:r w:rsidRPr="001D3A67">
              <w:rPr>
                <w:sz w:val="20"/>
                <w:szCs w:val="20"/>
              </w:rPr>
              <w:t>- Габаритные размеры, мм 265х103х262</w:t>
            </w:r>
          </w:p>
          <w:p w14:paraId="64747ACF" w14:textId="21C60B5B" w:rsidR="001D3A67" w:rsidRPr="001D3A67" w:rsidRDefault="001D3A67" w:rsidP="001D3A67">
            <w:pPr>
              <w:rPr>
                <w:sz w:val="20"/>
                <w:szCs w:val="20"/>
              </w:rPr>
            </w:pPr>
            <w:r w:rsidRPr="001D3A67">
              <w:rPr>
                <w:sz w:val="20"/>
                <w:szCs w:val="20"/>
              </w:rPr>
              <w:t>- Вес, килограмм 2,5</w:t>
            </w:r>
          </w:p>
        </w:tc>
        <w:tc>
          <w:tcPr>
            <w:tcW w:w="4400" w:type="dxa"/>
            <w:hideMark/>
          </w:tcPr>
          <w:p w14:paraId="2A29CE1F" w14:textId="5AB82A50" w:rsidR="009E5B33" w:rsidRDefault="00D15BCD" w:rsidP="00D15BCD">
            <w:pPr>
              <w:rPr>
                <w:sz w:val="20"/>
                <w:szCs w:val="20"/>
              </w:rPr>
            </w:pPr>
            <w:r w:rsidRPr="00D15BCD">
              <w:rPr>
                <w:sz w:val="20"/>
                <w:szCs w:val="20"/>
              </w:rPr>
              <w:t>-</w:t>
            </w:r>
            <w:r w:rsidR="00CC0643" w:rsidRPr="00CC0643">
              <w:rPr>
                <w:sz w:val="20"/>
                <w:szCs w:val="20"/>
              </w:rPr>
              <w:t xml:space="preserve">Диапазон измерений массовой концентрации ионов цинка, кадмия, свинца и меди, мг/дм3 </w:t>
            </w:r>
            <w:r w:rsidRPr="00D15BCD">
              <w:rPr>
                <w:sz w:val="20"/>
                <w:szCs w:val="20"/>
              </w:rPr>
              <w:t>от 0,00010 до 1,0</w:t>
            </w:r>
          </w:p>
          <w:p w14:paraId="40461EE6" w14:textId="5272A38F" w:rsidR="0052786B" w:rsidRPr="0052786B" w:rsidRDefault="00D15BCD" w:rsidP="0052786B">
            <w:pPr>
              <w:rPr>
                <w:sz w:val="20"/>
                <w:szCs w:val="20"/>
              </w:rPr>
            </w:pPr>
            <w:r w:rsidRPr="0052786B">
              <w:rPr>
                <w:sz w:val="20"/>
                <w:szCs w:val="20"/>
              </w:rPr>
              <w:t>-</w:t>
            </w:r>
            <w:r w:rsidR="0052786B">
              <w:t xml:space="preserve"> </w:t>
            </w:r>
            <w:r w:rsidR="0052786B" w:rsidRPr="0052786B">
              <w:rPr>
                <w:sz w:val="20"/>
                <w:szCs w:val="20"/>
              </w:rPr>
              <w:t>Пределы допускаемой относительной погрешности измерений</w:t>
            </w:r>
          </w:p>
          <w:p w14:paraId="5D1C4747" w14:textId="77777777" w:rsidR="0052786B" w:rsidRPr="0052786B" w:rsidRDefault="0052786B" w:rsidP="0052786B">
            <w:pPr>
              <w:rPr>
                <w:sz w:val="20"/>
                <w:szCs w:val="20"/>
              </w:rPr>
            </w:pPr>
            <w:r w:rsidRPr="0052786B">
              <w:rPr>
                <w:sz w:val="20"/>
                <w:szCs w:val="20"/>
              </w:rPr>
              <w:t>массовой концентрации ионов цинка, кадмия, свинца и меди в аттестованных смесях:</w:t>
            </w:r>
          </w:p>
          <w:p w14:paraId="20E753F3" w14:textId="77777777" w:rsidR="0052786B" w:rsidRPr="0052786B" w:rsidRDefault="0052786B" w:rsidP="0052786B">
            <w:pPr>
              <w:rPr>
                <w:sz w:val="20"/>
                <w:szCs w:val="20"/>
              </w:rPr>
            </w:pPr>
            <w:r w:rsidRPr="0052786B">
              <w:rPr>
                <w:sz w:val="20"/>
                <w:szCs w:val="20"/>
              </w:rPr>
              <w:t>от 0,00010 до 0,0050 мг/дм3 вкл., %</w:t>
            </w:r>
          </w:p>
          <w:p w14:paraId="755C0404" w14:textId="77777777" w:rsidR="003B6D43" w:rsidRPr="003B6D43" w:rsidRDefault="0052786B" w:rsidP="003B6D43">
            <w:pPr>
              <w:rPr>
                <w:sz w:val="20"/>
                <w:szCs w:val="20"/>
              </w:rPr>
            </w:pPr>
            <w:r w:rsidRPr="0052786B">
              <w:rPr>
                <w:sz w:val="20"/>
                <w:szCs w:val="20"/>
              </w:rPr>
              <w:t>св. 0,0050 до 1,0 мг/дм3 вкл., %</w:t>
            </w:r>
            <w:r w:rsidR="003B6D43" w:rsidRPr="003B6D43">
              <w:rPr>
                <w:sz w:val="20"/>
                <w:szCs w:val="20"/>
              </w:rPr>
              <w:t xml:space="preserve"> ±25</w:t>
            </w:r>
          </w:p>
          <w:p w14:paraId="2E9EF909" w14:textId="66130004" w:rsidR="00D15BCD" w:rsidRPr="003B6D43" w:rsidRDefault="003B6D43" w:rsidP="003B6D43">
            <w:pPr>
              <w:rPr>
                <w:sz w:val="20"/>
                <w:szCs w:val="20"/>
              </w:rPr>
            </w:pPr>
            <w:r w:rsidRPr="003B6D43">
              <w:rPr>
                <w:sz w:val="20"/>
                <w:szCs w:val="20"/>
              </w:rPr>
              <w:t>±20</w:t>
            </w:r>
          </w:p>
          <w:p w14:paraId="72F11AF3" w14:textId="4FBEAE61" w:rsidR="0052786B" w:rsidRDefault="0052786B" w:rsidP="0052786B">
            <w:pPr>
              <w:rPr>
                <w:sz w:val="20"/>
                <w:szCs w:val="20"/>
              </w:rPr>
            </w:pPr>
            <w:r w:rsidRPr="00321E7F">
              <w:rPr>
                <w:sz w:val="20"/>
                <w:szCs w:val="20"/>
              </w:rPr>
              <w:t>-</w:t>
            </w:r>
            <w:r w:rsidR="00321E7F">
              <w:t xml:space="preserve"> </w:t>
            </w:r>
            <w:r w:rsidR="00321E7F" w:rsidRPr="00321E7F">
              <w:rPr>
                <w:sz w:val="20"/>
                <w:szCs w:val="20"/>
              </w:rPr>
              <w:t xml:space="preserve">Количество электрохимических ячеек, работающих одновременно, штук </w:t>
            </w:r>
            <w:r w:rsidR="00CF6CAF" w:rsidRPr="00CF6CAF">
              <w:rPr>
                <w:sz w:val="20"/>
                <w:szCs w:val="20"/>
              </w:rPr>
              <w:t>3</w:t>
            </w:r>
          </w:p>
          <w:p w14:paraId="3D0641BA" w14:textId="3E288C69" w:rsidR="00CF6CAF" w:rsidRDefault="00CF6CAF" w:rsidP="0052786B">
            <w:pPr>
              <w:rPr>
                <w:sz w:val="20"/>
                <w:szCs w:val="20"/>
              </w:rPr>
            </w:pPr>
            <w:r w:rsidRPr="00F27907">
              <w:rPr>
                <w:sz w:val="20"/>
                <w:szCs w:val="20"/>
              </w:rPr>
              <w:t xml:space="preserve">- </w:t>
            </w:r>
            <w:r w:rsidR="00F27907" w:rsidRPr="00F27907">
              <w:rPr>
                <w:sz w:val="20"/>
                <w:szCs w:val="20"/>
              </w:rPr>
              <w:t xml:space="preserve">Количество результатов единичных измерений, получаемых одновременно, штук </w:t>
            </w:r>
            <w:r w:rsidR="0076600B" w:rsidRPr="0076600B">
              <w:rPr>
                <w:sz w:val="20"/>
                <w:szCs w:val="20"/>
              </w:rPr>
              <w:t>3</w:t>
            </w:r>
          </w:p>
          <w:p w14:paraId="6315AB87" w14:textId="2048C2C0" w:rsidR="0076600B" w:rsidRDefault="0076600B" w:rsidP="0052786B">
            <w:pPr>
              <w:rPr>
                <w:sz w:val="20"/>
                <w:szCs w:val="20"/>
              </w:rPr>
            </w:pPr>
            <w:r w:rsidRPr="00493145">
              <w:rPr>
                <w:sz w:val="20"/>
                <w:szCs w:val="20"/>
              </w:rPr>
              <w:t>-</w:t>
            </w:r>
            <w:r w:rsidR="00493145">
              <w:t xml:space="preserve"> </w:t>
            </w:r>
            <w:r w:rsidR="00493145" w:rsidRPr="00493145">
              <w:rPr>
                <w:sz w:val="20"/>
                <w:szCs w:val="20"/>
              </w:rPr>
              <w:t>Расчет показателей повторяемости и точности</w:t>
            </w:r>
            <w:r w:rsidR="008A3AAE" w:rsidRPr="008A3AAE">
              <w:rPr>
                <w:sz w:val="20"/>
                <w:szCs w:val="20"/>
              </w:rPr>
              <w:t xml:space="preserve"> автоматически </w:t>
            </w:r>
          </w:p>
          <w:p w14:paraId="71ABA054" w14:textId="433B064A" w:rsidR="008A3AAE" w:rsidRDefault="009A733D" w:rsidP="0052786B">
            <w:pPr>
              <w:rPr>
                <w:sz w:val="20"/>
                <w:szCs w:val="20"/>
              </w:rPr>
            </w:pPr>
            <w:r w:rsidRPr="008E09BE">
              <w:rPr>
                <w:sz w:val="20"/>
                <w:szCs w:val="20"/>
              </w:rPr>
              <w:t xml:space="preserve">- </w:t>
            </w:r>
            <w:r w:rsidRPr="009A733D">
              <w:rPr>
                <w:sz w:val="20"/>
                <w:szCs w:val="20"/>
              </w:rPr>
              <w:t>Количество источников УФ-излучения, штук</w:t>
            </w:r>
            <w:r w:rsidRPr="008E09BE">
              <w:rPr>
                <w:sz w:val="20"/>
                <w:szCs w:val="20"/>
              </w:rPr>
              <w:t xml:space="preserve"> 2</w:t>
            </w:r>
          </w:p>
          <w:p w14:paraId="72AB8207" w14:textId="08B58A06" w:rsidR="008E09BE" w:rsidRDefault="008E09BE" w:rsidP="0052786B">
            <w:pPr>
              <w:rPr>
                <w:sz w:val="20"/>
                <w:szCs w:val="20"/>
              </w:rPr>
            </w:pPr>
            <w:r w:rsidRPr="008E09BE"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8E09BE">
              <w:rPr>
                <w:sz w:val="20"/>
                <w:szCs w:val="20"/>
              </w:rPr>
              <w:t xml:space="preserve">Мощность источников УФ-излучения суммарная, Вт </w:t>
            </w:r>
            <w:r w:rsidR="001A4D4B" w:rsidRPr="001A4D4B">
              <w:rPr>
                <w:sz w:val="20"/>
                <w:szCs w:val="20"/>
              </w:rPr>
              <w:t>22</w:t>
            </w:r>
          </w:p>
          <w:p w14:paraId="6693F4A8" w14:textId="57F60D60" w:rsidR="00E738EF" w:rsidRPr="00D06947" w:rsidRDefault="00E738EF" w:rsidP="0052786B">
            <w:pPr>
              <w:rPr>
                <w:sz w:val="20"/>
                <w:szCs w:val="20"/>
              </w:rPr>
            </w:pPr>
            <w:r w:rsidRPr="00D06947">
              <w:rPr>
                <w:sz w:val="20"/>
                <w:szCs w:val="20"/>
              </w:rPr>
              <w:t>- Материал корпуса</w:t>
            </w:r>
            <w:r w:rsidR="00741750" w:rsidRPr="00D06947">
              <w:rPr>
                <w:sz w:val="20"/>
                <w:szCs w:val="20"/>
              </w:rPr>
              <w:t xml:space="preserve"> (коррозионностойкая сталь)</w:t>
            </w:r>
          </w:p>
          <w:p w14:paraId="6BDAA6D6" w14:textId="35015F84" w:rsidR="00741750" w:rsidRDefault="00741750" w:rsidP="0052786B">
            <w:pPr>
              <w:rPr>
                <w:sz w:val="20"/>
                <w:szCs w:val="20"/>
              </w:rPr>
            </w:pPr>
            <w:r w:rsidRPr="002A02D3">
              <w:rPr>
                <w:sz w:val="20"/>
                <w:szCs w:val="20"/>
              </w:rPr>
              <w:t>-</w:t>
            </w:r>
            <w:r w:rsidR="002A02D3">
              <w:t xml:space="preserve"> </w:t>
            </w:r>
            <w:r w:rsidR="002A02D3" w:rsidRPr="002A02D3">
              <w:rPr>
                <w:sz w:val="20"/>
                <w:szCs w:val="20"/>
              </w:rPr>
              <w:t xml:space="preserve">Количество светодиодов для подсветки раствора электрохимических ячеек, штук </w:t>
            </w:r>
            <w:r w:rsidR="000E33FD" w:rsidRPr="000E33FD">
              <w:rPr>
                <w:sz w:val="20"/>
                <w:szCs w:val="20"/>
              </w:rPr>
              <w:t>(3)</w:t>
            </w:r>
          </w:p>
          <w:p w14:paraId="4FEBB3E0" w14:textId="56B6FF5A" w:rsidR="000E33FD" w:rsidRDefault="000E33FD" w:rsidP="0052786B">
            <w:pPr>
              <w:rPr>
                <w:sz w:val="20"/>
                <w:szCs w:val="20"/>
              </w:rPr>
            </w:pPr>
            <w:r w:rsidRPr="006A1BF5">
              <w:rPr>
                <w:sz w:val="20"/>
                <w:szCs w:val="20"/>
              </w:rPr>
              <w:lastRenderedPageBreak/>
              <w:t>-</w:t>
            </w:r>
            <w:r w:rsidR="006A1BF5">
              <w:t xml:space="preserve"> </w:t>
            </w:r>
            <w:r w:rsidR="006A1BF5" w:rsidRPr="006A1BF5">
              <w:rPr>
                <w:sz w:val="20"/>
                <w:szCs w:val="20"/>
              </w:rPr>
              <w:t xml:space="preserve">Подача инертного газа в ячейки анализатора </w:t>
            </w:r>
            <w:r w:rsidR="003154B8" w:rsidRPr="003154B8">
              <w:rPr>
                <w:sz w:val="20"/>
                <w:szCs w:val="20"/>
              </w:rPr>
              <w:t>(</w:t>
            </w:r>
            <w:r w:rsidR="00054977" w:rsidRPr="00054977">
              <w:rPr>
                <w:sz w:val="20"/>
                <w:szCs w:val="20"/>
              </w:rPr>
              <w:t>автоматически)</w:t>
            </w:r>
          </w:p>
          <w:p w14:paraId="7707D382" w14:textId="15E0C7F1" w:rsidR="001947E7" w:rsidRDefault="00E20D1A" w:rsidP="0052786B">
            <w:pPr>
              <w:rPr>
                <w:sz w:val="20"/>
                <w:szCs w:val="20"/>
              </w:rPr>
            </w:pPr>
            <w:r w:rsidRPr="00536DD5">
              <w:rPr>
                <w:sz w:val="20"/>
                <w:szCs w:val="20"/>
              </w:rPr>
              <w:t>-</w:t>
            </w:r>
            <w:r w:rsidR="00536DD5">
              <w:t xml:space="preserve"> </w:t>
            </w:r>
            <w:r w:rsidR="00536DD5" w:rsidRPr="00536DD5">
              <w:rPr>
                <w:sz w:val="20"/>
                <w:szCs w:val="20"/>
              </w:rPr>
              <w:t>Подача озона в ячейки анализатора (</w:t>
            </w:r>
            <w:r w:rsidR="00CF08FC" w:rsidRPr="00CF08FC">
              <w:rPr>
                <w:sz w:val="20"/>
                <w:szCs w:val="20"/>
              </w:rPr>
              <w:t>автоматически)</w:t>
            </w:r>
          </w:p>
          <w:p w14:paraId="55E916B0" w14:textId="73EB06F8" w:rsidR="00CF08FC" w:rsidRDefault="00CF08FC" w:rsidP="0052786B">
            <w:pPr>
              <w:rPr>
                <w:sz w:val="20"/>
                <w:szCs w:val="20"/>
              </w:rPr>
            </w:pPr>
            <w:r w:rsidRPr="007D54A8">
              <w:rPr>
                <w:sz w:val="20"/>
                <w:szCs w:val="20"/>
              </w:rPr>
              <w:t>-</w:t>
            </w:r>
            <w:r w:rsidR="007D54A8">
              <w:t xml:space="preserve"> </w:t>
            </w:r>
            <w:r w:rsidR="007D54A8" w:rsidRPr="007D54A8">
              <w:rPr>
                <w:sz w:val="20"/>
                <w:szCs w:val="20"/>
              </w:rPr>
              <w:t xml:space="preserve">Количество штуцеров для подачи инертного газа и озона, штук </w:t>
            </w:r>
            <w:r w:rsidR="00071BFB" w:rsidRPr="00071BFB">
              <w:rPr>
                <w:sz w:val="20"/>
                <w:szCs w:val="20"/>
              </w:rPr>
              <w:t>(2)</w:t>
            </w:r>
          </w:p>
          <w:p w14:paraId="23AD0363" w14:textId="32F6DFF6" w:rsidR="00270E10" w:rsidRPr="00071BFB" w:rsidRDefault="00270E10" w:rsidP="0052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70E10">
              <w:rPr>
                <w:sz w:val="20"/>
                <w:szCs w:val="20"/>
              </w:rPr>
              <w:t>Средний срок службы, лет</w:t>
            </w:r>
            <w:r>
              <w:rPr>
                <w:sz w:val="20"/>
                <w:szCs w:val="20"/>
              </w:rPr>
              <w:t xml:space="preserve"> </w:t>
            </w:r>
            <w:r w:rsidR="00BF60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12</w:t>
            </w:r>
            <w:r w:rsidR="00BF609A">
              <w:rPr>
                <w:sz w:val="20"/>
                <w:szCs w:val="20"/>
              </w:rPr>
              <w:t>)</w:t>
            </w:r>
          </w:p>
          <w:p w14:paraId="4FF87120" w14:textId="77777777" w:rsidR="00D15BCD" w:rsidRPr="0052786B" w:rsidRDefault="00D15BCD" w:rsidP="00D15BCD">
            <w:pPr>
              <w:rPr>
                <w:sz w:val="20"/>
                <w:szCs w:val="20"/>
              </w:rPr>
            </w:pPr>
          </w:p>
          <w:p w14:paraId="63985334" w14:textId="41EF87F0" w:rsidR="00010D7B" w:rsidRPr="00CC0643" w:rsidRDefault="00BE4846" w:rsidP="00F370A8">
            <w:pPr>
              <w:rPr>
                <w:sz w:val="20"/>
                <w:szCs w:val="20"/>
              </w:rPr>
            </w:pPr>
            <w:r w:rsidRPr="00BE4846">
              <w:rPr>
                <w:b/>
                <w:bCs/>
                <w:sz w:val="20"/>
                <w:szCs w:val="20"/>
              </w:rPr>
              <w:t>Назначение</w:t>
            </w:r>
            <w:r w:rsidRPr="00CC0643">
              <w:rPr>
                <w:sz w:val="20"/>
                <w:szCs w:val="20"/>
              </w:rPr>
              <w:t xml:space="preserve">: </w:t>
            </w:r>
            <w:r w:rsidR="00AB001A" w:rsidRPr="00010D7B">
              <w:rPr>
                <w:b/>
                <w:bCs/>
                <w:sz w:val="20"/>
                <w:szCs w:val="20"/>
              </w:rPr>
              <w:t>Согдийская</w:t>
            </w:r>
            <w:r w:rsidR="00AB001A" w:rsidRPr="00CC0643">
              <w:rPr>
                <w:b/>
                <w:bCs/>
                <w:sz w:val="20"/>
                <w:szCs w:val="20"/>
              </w:rPr>
              <w:t xml:space="preserve"> </w:t>
            </w:r>
            <w:r w:rsidR="00AB001A" w:rsidRPr="00010D7B">
              <w:rPr>
                <w:b/>
                <w:bCs/>
                <w:sz w:val="20"/>
                <w:szCs w:val="20"/>
              </w:rPr>
              <w:t>обл</w:t>
            </w:r>
            <w:r w:rsidR="00AB001A" w:rsidRPr="00CC064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</w:t>
            </w:r>
            <w:r w:rsidRPr="00CC0643">
              <w:rPr>
                <w:sz w:val="20"/>
                <w:szCs w:val="20"/>
              </w:rPr>
              <w:t>.</w:t>
            </w:r>
            <w:r w:rsidR="004336D8" w:rsidRPr="00CC0643">
              <w:rPr>
                <w:sz w:val="20"/>
                <w:szCs w:val="20"/>
              </w:rPr>
              <w:t xml:space="preserve"> </w:t>
            </w:r>
            <w:r w:rsidR="004336D8">
              <w:rPr>
                <w:sz w:val="20"/>
                <w:szCs w:val="20"/>
              </w:rPr>
              <w:t>Худжанд</w:t>
            </w:r>
            <w:r w:rsidR="004336D8" w:rsidRPr="00CC0643">
              <w:rPr>
                <w:sz w:val="20"/>
                <w:szCs w:val="20"/>
              </w:rPr>
              <w:t xml:space="preserve"> </w:t>
            </w:r>
            <w:r w:rsidR="00E33FDC" w:rsidRPr="00CC0643">
              <w:rPr>
                <w:sz w:val="20"/>
                <w:szCs w:val="20"/>
              </w:rPr>
              <w:t>1</w:t>
            </w:r>
            <w:r w:rsidR="0037048E" w:rsidRPr="00CC0643">
              <w:rPr>
                <w:sz w:val="20"/>
                <w:szCs w:val="20"/>
              </w:rPr>
              <w:t xml:space="preserve"> </w:t>
            </w:r>
            <w:r w:rsidR="0037048E">
              <w:rPr>
                <w:sz w:val="20"/>
                <w:szCs w:val="20"/>
              </w:rPr>
              <w:t>шт</w:t>
            </w:r>
            <w:r w:rsidR="0037048E" w:rsidRPr="00CC0643">
              <w:rPr>
                <w:sz w:val="20"/>
                <w:szCs w:val="20"/>
              </w:rPr>
              <w:t>.,</w:t>
            </w:r>
            <w:r w:rsidRPr="00CC0643">
              <w:rPr>
                <w:sz w:val="20"/>
                <w:szCs w:val="20"/>
              </w:rPr>
              <w:t xml:space="preserve"> </w:t>
            </w:r>
            <w:r w:rsidR="00010D7B" w:rsidRPr="00090BC4">
              <w:rPr>
                <w:b/>
                <w:bCs/>
                <w:sz w:val="20"/>
                <w:szCs w:val="20"/>
              </w:rPr>
              <w:t>Хатлонская</w:t>
            </w:r>
            <w:r w:rsidR="00010D7B" w:rsidRPr="00CC0643">
              <w:rPr>
                <w:b/>
                <w:bCs/>
                <w:sz w:val="20"/>
                <w:szCs w:val="20"/>
              </w:rPr>
              <w:t xml:space="preserve"> </w:t>
            </w:r>
            <w:r w:rsidR="00010D7B" w:rsidRPr="00090BC4">
              <w:rPr>
                <w:b/>
                <w:bCs/>
                <w:sz w:val="20"/>
                <w:szCs w:val="20"/>
              </w:rPr>
              <w:t>обл</w:t>
            </w:r>
            <w:r w:rsidR="00090BC4" w:rsidRPr="00CC0643">
              <w:rPr>
                <w:b/>
                <w:bCs/>
                <w:sz w:val="20"/>
                <w:szCs w:val="20"/>
              </w:rPr>
              <w:t xml:space="preserve">. </w:t>
            </w:r>
            <w:r w:rsidR="00F370A8" w:rsidRPr="00CC0643">
              <w:rPr>
                <w:b/>
                <w:bCs/>
                <w:sz w:val="20"/>
                <w:szCs w:val="20"/>
              </w:rPr>
              <w:t>г</w:t>
            </w:r>
            <w:r w:rsidR="00F370A8" w:rsidRPr="00CC0643">
              <w:rPr>
                <w:sz w:val="20"/>
                <w:szCs w:val="20"/>
              </w:rPr>
              <w:t xml:space="preserve">. </w:t>
            </w:r>
            <w:proofErr w:type="spellStart"/>
            <w:r w:rsidR="00F370A8" w:rsidRPr="00CC0643">
              <w:rPr>
                <w:sz w:val="20"/>
                <w:szCs w:val="20"/>
              </w:rPr>
              <w:t>Бохтар</w:t>
            </w:r>
            <w:proofErr w:type="spellEnd"/>
            <w:r w:rsidR="00703CAD" w:rsidRPr="00CC0643">
              <w:rPr>
                <w:sz w:val="20"/>
                <w:szCs w:val="20"/>
              </w:rPr>
              <w:t xml:space="preserve"> </w:t>
            </w:r>
            <w:r w:rsidR="00F370A8" w:rsidRPr="00CC0643">
              <w:rPr>
                <w:sz w:val="20"/>
                <w:szCs w:val="20"/>
              </w:rPr>
              <w:t>1</w:t>
            </w:r>
            <w:r w:rsidR="00703CAD" w:rsidRPr="00CC0643">
              <w:t xml:space="preserve"> </w:t>
            </w:r>
            <w:r w:rsidR="00703CAD" w:rsidRPr="00703CAD">
              <w:rPr>
                <w:sz w:val="20"/>
                <w:szCs w:val="20"/>
              </w:rPr>
              <w:t>шт</w:t>
            </w:r>
            <w:r w:rsidR="00703CAD" w:rsidRPr="00CC064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63F8B13D" w14:textId="5C3FB092" w:rsidR="00916D44" w:rsidRPr="00AC2903" w:rsidRDefault="00AC2903" w:rsidP="00916D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  <w:p w14:paraId="5FFE3607" w14:textId="5CCC38B7" w:rsidR="00BE4846" w:rsidRPr="00BE4846" w:rsidRDefault="00BE4846" w:rsidP="00916D44">
            <w:pPr>
              <w:rPr>
                <w:sz w:val="20"/>
                <w:szCs w:val="20"/>
              </w:rPr>
            </w:pPr>
          </w:p>
          <w:p w14:paraId="65BCE355" w14:textId="09E9A8AD" w:rsidR="00BE4846" w:rsidRPr="00FF6BBB" w:rsidRDefault="00BE4846" w:rsidP="00916D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1A6A0DDF" w14:textId="77777777" w:rsidR="00916D44" w:rsidRPr="00916D44" w:rsidRDefault="00916D44">
            <w:pPr>
              <w:rPr>
                <w:sz w:val="20"/>
                <w:szCs w:val="20"/>
              </w:rPr>
            </w:pPr>
            <w:r w:rsidRPr="00916D44">
              <w:rPr>
                <w:sz w:val="20"/>
                <w:szCs w:val="20"/>
              </w:rPr>
              <w:t> </w:t>
            </w:r>
          </w:p>
        </w:tc>
        <w:tc>
          <w:tcPr>
            <w:tcW w:w="1807" w:type="dxa"/>
            <w:noWrap/>
            <w:hideMark/>
          </w:tcPr>
          <w:p w14:paraId="71A2DD41" w14:textId="77777777" w:rsidR="00916D44" w:rsidRPr="00916D44" w:rsidRDefault="00916D44">
            <w:pPr>
              <w:rPr>
                <w:sz w:val="20"/>
                <w:szCs w:val="20"/>
              </w:rPr>
            </w:pPr>
            <w:r w:rsidRPr="00916D44">
              <w:rPr>
                <w:sz w:val="20"/>
                <w:szCs w:val="20"/>
              </w:rPr>
              <w:t> </w:t>
            </w:r>
          </w:p>
        </w:tc>
      </w:tr>
      <w:tr w:rsidR="00916D44" w:rsidRPr="00916D44" w14:paraId="27DEB2D7" w14:textId="77777777" w:rsidTr="00916D44">
        <w:trPr>
          <w:trHeight w:val="372"/>
        </w:trPr>
        <w:tc>
          <w:tcPr>
            <w:tcW w:w="9634" w:type="dxa"/>
            <w:gridSpan w:val="4"/>
            <w:hideMark/>
          </w:tcPr>
          <w:p w14:paraId="4945224A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Общее окончательное и комплексное ценовое предложение (сомони)</w:t>
            </w:r>
          </w:p>
        </w:tc>
        <w:tc>
          <w:tcPr>
            <w:tcW w:w="1418" w:type="dxa"/>
            <w:noWrap/>
            <w:hideMark/>
          </w:tcPr>
          <w:p w14:paraId="7C415429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1469C95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7" w:type="dxa"/>
            <w:noWrap/>
            <w:hideMark/>
          </w:tcPr>
          <w:p w14:paraId="3CF1EB5A" w14:textId="77777777" w:rsidR="00916D44" w:rsidRPr="00916D44" w:rsidRDefault="00916D44" w:rsidP="00916D44">
            <w:pPr>
              <w:rPr>
                <w:b/>
                <w:bCs/>
                <w:sz w:val="20"/>
                <w:szCs w:val="20"/>
              </w:rPr>
            </w:pPr>
            <w:r w:rsidRPr="00916D44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257F9F19" w14:textId="77777777" w:rsidR="002A3065" w:rsidRDefault="002A3065">
      <w:pPr>
        <w:rPr>
          <w:sz w:val="20"/>
          <w:szCs w:val="20"/>
        </w:rPr>
      </w:pPr>
    </w:p>
    <w:p w14:paraId="2C075661" w14:textId="09815F40" w:rsidR="001B7522" w:rsidRPr="0073497D" w:rsidRDefault="0073497D">
      <w:pPr>
        <w:rPr>
          <w:b/>
          <w:bCs/>
          <w:sz w:val="24"/>
          <w:szCs w:val="24"/>
        </w:rPr>
      </w:pPr>
      <w:r w:rsidRPr="0073497D">
        <w:rPr>
          <w:b/>
          <w:bCs/>
          <w:sz w:val="24"/>
          <w:szCs w:val="24"/>
        </w:rPr>
        <w:t xml:space="preserve">Дополнительные условия </w:t>
      </w:r>
    </w:p>
    <w:tbl>
      <w:tblPr>
        <w:tblW w:w="14625" w:type="dxa"/>
        <w:tblLook w:val="04A0" w:firstRow="1" w:lastRow="0" w:firstColumn="1" w:lastColumn="0" w:noHBand="0" w:noVBand="1"/>
      </w:tblPr>
      <w:tblGrid>
        <w:gridCol w:w="4945"/>
        <w:gridCol w:w="5944"/>
        <w:gridCol w:w="3736"/>
      </w:tblGrid>
      <w:tr w:rsidR="00916D44" w:rsidRPr="00916D44" w14:paraId="31540D11" w14:textId="77777777" w:rsidTr="00FF6BBB">
        <w:trPr>
          <w:trHeight w:val="35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87FA" w14:textId="77777777" w:rsidR="00916D44" w:rsidRPr="00BE4846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payment form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943" w14:textId="77777777" w:rsidR="00916D44" w:rsidRPr="00916D44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оплаты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3834" w14:textId="481539EA" w:rsidR="00916D44" w:rsidRPr="00916D44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16D44" w:rsidRPr="00916D44" w14:paraId="526C524F" w14:textId="77777777" w:rsidTr="00FF6BBB">
        <w:trPr>
          <w:trHeight w:val="35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076B" w14:textId="77777777" w:rsidR="00916D44" w:rsidRPr="00BE4846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Delivery date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36DD" w14:textId="77777777" w:rsidR="00916D44" w:rsidRPr="00916D44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доставки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8F75" w14:textId="715B8FF6" w:rsidR="00916D44" w:rsidRPr="00FF6BBB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16D44" w:rsidRPr="00916D44" w14:paraId="4D507959" w14:textId="77777777" w:rsidTr="00FF6BBB">
        <w:trPr>
          <w:trHeight w:val="35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77EB" w14:textId="77777777" w:rsidR="00916D44" w:rsidRPr="00BE4846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E48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Warranty 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3654" w14:textId="77777777" w:rsidR="00916D44" w:rsidRPr="00916D44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Гарантия на обслуживание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B0C" w14:textId="3E5F7018" w:rsidR="00FF6BBB" w:rsidRPr="00AD5C1F" w:rsidRDefault="00FF6BBB" w:rsidP="00916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16D44" w:rsidRPr="00916D44" w14:paraId="1B2A2B5C" w14:textId="77777777" w:rsidTr="00FF6BBB">
        <w:trPr>
          <w:trHeight w:val="35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2D44" w14:textId="77777777" w:rsidR="00916D44" w:rsidRPr="00916D44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validity day of the quotation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CB1" w14:textId="77777777" w:rsidR="00916D44" w:rsidRPr="00916D44" w:rsidRDefault="00916D44" w:rsidP="00916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действия предложения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E49C" w14:textId="62A512EA" w:rsidR="00916D44" w:rsidRPr="00916D44" w:rsidRDefault="00916D44" w:rsidP="00916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14:paraId="129DDC7F" w14:textId="77777777" w:rsidR="00916D44" w:rsidRPr="00FF6BBB" w:rsidRDefault="00916D44">
      <w:pPr>
        <w:rPr>
          <w:sz w:val="20"/>
          <w:szCs w:val="20"/>
        </w:rPr>
      </w:pPr>
    </w:p>
    <w:p w14:paraId="4D20B852" w14:textId="1A88D4EC" w:rsidR="00EC42EA" w:rsidRDefault="00FF6BBB" w:rsidP="00FF6BBB">
      <w:pPr>
        <w:pStyle w:val="ListParagraph"/>
        <w:rPr>
          <w:b/>
          <w:bCs/>
          <w:sz w:val="24"/>
          <w:szCs w:val="24"/>
        </w:rPr>
      </w:pPr>
      <w:r w:rsidRPr="00FF6BBB">
        <w:rPr>
          <w:b/>
          <w:bCs/>
          <w:sz w:val="24"/>
          <w:szCs w:val="24"/>
        </w:rPr>
        <w:t xml:space="preserve">Общие требования </w:t>
      </w:r>
    </w:p>
    <w:p w14:paraId="0E5D3429" w14:textId="070F13AD" w:rsidR="00FF6BBB" w:rsidRPr="00651C01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51C01">
        <w:rPr>
          <w:b/>
          <w:bCs/>
          <w:sz w:val="24"/>
          <w:szCs w:val="24"/>
        </w:rPr>
        <w:t xml:space="preserve">Место доставки и установки: </w:t>
      </w:r>
      <w:r w:rsidR="00843E38" w:rsidRPr="00651C01">
        <w:rPr>
          <w:b/>
          <w:bCs/>
          <w:sz w:val="24"/>
          <w:szCs w:val="24"/>
        </w:rPr>
        <w:t xml:space="preserve">г. Худжанд ., </w:t>
      </w:r>
      <w:proofErr w:type="spellStart"/>
      <w:r w:rsidR="007D283A">
        <w:rPr>
          <w:b/>
          <w:bCs/>
          <w:sz w:val="24"/>
          <w:szCs w:val="24"/>
        </w:rPr>
        <w:t>Согдийски</w:t>
      </w:r>
      <w:proofErr w:type="spellEnd"/>
      <w:r w:rsidR="007D283A">
        <w:rPr>
          <w:b/>
          <w:bCs/>
          <w:sz w:val="24"/>
          <w:szCs w:val="24"/>
        </w:rPr>
        <w:t xml:space="preserve"> </w:t>
      </w:r>
      <w:proofErr w:type="spellStart"/>
      <w:r w:rsidR="007D283A">
        <w:rPr>
          <w:b/>
          <w:bCs/>
          <w:sz w:val="24"/>
          <w:szCs w:val="24"/>
        </w:rPr>
        <w:t>област</w:t>
      </w:r>
      <w:proofErr w:type="spellEnd"/>
      <w:r w:rsidR="00303FA0">
        <w:rPr>
          <w:b/>
          <w:bCs/>
          <w:sz w:val="24"/>
          <w:szCs w:val="24"/>
        </w:rPr>
        <w:t xml:space="preserve"> и г. </w:t>
      </w:r>
      <w:proofErr w:type="spellStart"/>
      <w:r w:rsidR="00303FA0">
        <w:rPr>
          <w:b/>
          <w:bCs/>
          <w:sz w:val="24"/>
          <w:szCs w:val="24"/>
        </w:rPr>
        <w:t>Бохтар</w:t>
      </w:r>
      <w:proofErr w:type="spellEnd"/>
      <w:r w:rsidR="00303FA0">
        <w:rPr>
          <w:b/>
          <w:bCs/>
          <w:sz w:val="24"/>
          <w:szCs w:val="24"/>
        </w:rPr>
        <w:t>.</w:t>
      </w:r>
      <w:r w:rsidR="00843E38" w:rsidRPr="00651C01">
        <w:rPr>
          <w:b/>
          <w:bCs/>
          <w:sz w:val="24"/>
          <w:szCs w:val="24"/>
        </w:rPr>
        <w:t>,</w:t>
      </w:r>
      <w:r w:rsidR="00303FA0">
        <w:rPr>
          <w:b/>
          <w:bCs/>
          <w:sz w:val="24"/>
          <w:szCs w:val="24"/>
        </w:rPr>
        <w:t xml:space="preserve"> </w:t>
      </w:r>
      <w:proofErr w:type="spellStart"/>
      <w:r w:rsidR="00303FA0">
        <w:rPr>
          <w:b/>
          <w:bCs/>
          <w:sz w:val="24"/>
          <w:szCs w:val="24"/>
        </w:rPr>
        <w:t>Хатлонсикй</w:t>
      </w:r>
      <w:proofErr w:type="spellEnd"/>
      <w:r w:rsidR="00303FA0">
        <w:rPr>
          <w:b/>
          <w:bCs/>
          <w:sz w:val="24"/>
          <w:szCs w:val="24"/>
        </w:rPr>
        <w:t xml:space="preserve"> область</w:t>
      </w:r>
      <w:r w:rsidR="00651C01">
        <w:rPr>
          <w:b/>
          <w:bCs/>
          <w:sz w:val="24"/>
          <w:szCs w:val="24"/>
        </w:rPr>
        <w:t xml:space="preserve"> </w:t>
      </w:r>
      <w:r w:rsidR="00BE4846" w:rsidRPr="00651C01">
        <w:rPr>
          <w:b/>
          <w:bCs/>
          <w:sz w:val="24"/>
          <w:szCs w:val="24"/>
        </w:rPr>
        <w:t>назначения указаны в спецификации</w:t>
      </w:r>
      <w:r w:rsidRPr="00651C01">
        <w:rPr>
          <w:b/>
          <w:bCs/>
          <w:sz w:val="24"/>
          <w:szCs w:val="24"/>
        </w:rPr>
        <w:t>.</w:t>
      </w:r>
    </w:p>
    <w:p w14:paraId="165D6FED" w14:textId="2FEA2771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52582">
        <w:rPr>
          <w:b/>
          <w:bCs/>
          <w:sz w:val="24"/>
          <w:szCs w:val="24"/>
        </w:rPr>
        <w:t>Цены должны включать транспортировку и установку</w:t>
      </w:r>
      <w:r w:rsidR="00C33257" w:rsidRPr="00052582">
        <w:rPr>
          <w:b/>
          <w:bCs/>
          <w:sz w:val="24"/>
          <w:szCs w:val="24"/>
        </w:rPr>
        <w:t xml:space="preserve"> до места наз</w:t>
      </w:r>
      <w:r w:rsidR="00E32EEC">
        <w:rPr>
          <w:b/>
          <w:bCs/>
          <w:sz w:val="24"/>
          <w:szCs w:val="24"/>
        </w:rPr>
        <w:t>н</w:t>
      </w:r>
      <w:r w:rsidR="00C33257" w:rsidRPr="00052582">
        <w:rPr>
          <w:b/>
          <w:bCs/>
          <w:sz w:val="24"/>
          <w:szCs w:val="24"/>
        </w:rPr>
        <w:t>ачения</w:t>
      </w:r>
      <w:r w:rsidRPr="00052582">
        <w:rPr>
          <w:b/>
          <w:bCs/>
          <w:sz w:val="24"/>
          <w:szCs w:val="24"/>
        </w:rPr>
        <w:t>.</w:t>
      </w:r>
    </w:p>
    <w:p w14:paraId="73FE89E8" w14:textId="4C8B341A" w:rsidR="00E32EEC" w:rsidRPr="00052582" w:rsidRDefault="00E32EEC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Гарантия должна составлять минимальный срок 12 месяцев. </w:t>
      </w:r>
    </w:p>
    <w:p w14:paraId="1A090D78" w14:textId="07DF9F00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Оплата: 100% после доставки и установки товара и подписания акта приема-передачи, посредством банковского перевода</w:t>
      </w:r>
      <w:r w:rsidR="00765A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суммы на расчётный счет поставщика.</w:t>
      </w:r>
    </w:p>
    <w:p w14:paraId="74CCA8F6" w14:textId="1DF471CF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Товар принимается после осмотра на предмет отсутствия внешних повреждений и дефектов</w:t>
      </w:r>
      <w:r w:rsidR="00765A2E">
        <w:rPr>
          <w:b/>
          <w:bCs/>
          <w:sz w:val="24"/>
          <w:szCs w:val="24"/>
        </w:rPr>
        <w:t>.</w:t>
      </w:r>
    </w:p>
    <w:p w14:paraId="302BC37A" w14:textId="28E37547" w:rsidR="00416BED" w:rsidRDefault="00416BED" w:rsidP="00FF6B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 действия ценового предложения должен быть 30 календарных дней</w:t>
      </w:r>
      <w:r w:rsidR="00765A2E">
        <w:rPr>
          <w:b/>
          <w:bCs/>
          <w:sz w:val="24"/>
          <w:szCs w:val="24"/>
        </w:rPr>
        <w:t xml:space="preserve"> с даты его предоставления.</w:t>
      </w:r>
    </w:p>
    <w:p w14:paraId="3916FA10" w14:textId="251FABDB" w:rsidR="00765A2E" w:rsidRPr="00510B0E" w:rsidRDefault="00765A2E" w:rsidP="00FF6BB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Коммерческое предложение должно быть отправлено на электронный адрес</w:t>
      </w:r>
      <w:r w:rsidR="00510B0E">
        <w:rPr>
          <w:b/>
          <w:bCs/>
          <w:sz w:val="24"/>
          <w:szCs w:val="24"/>
        </w:rPr>
        <w:t xml:space="preserve"> </w:t>
      </w:r>
      <w:hyperlink r:id="rId11" w:history="1">
        <w:r w:rsidR="00510B0E" w:rsidRPr="004424B0">
          <w:rPr>
            <w:rStyle w:val="Hyperlink"/>
            <w:b/>
            <w:bCs/>
            <w:sz w:val="24"/>
            <w:szCs w:val="24"/>
            <w:lang w:val="en-US"/>
          </w:rPr>
          <w:t>Suhrob</w:t>
        </w:r>
        <w:r w:rsidR="00510B0E" w:rsidRPr="004424B0">
          <w:rPr>
            <w:rStyle w:val="Hyperlink"/>
            <w:b/>
            <w:bCs/>
            <w:sz w:val="24"/>
            <w:szCs w:val="24"/>
          </w:rPr>
          <w:t>_</w:t>
        </w:r>
        <w:r w:rsidR="00510B0E" w:rsidRPr="004424B0">
          <w:rPr>
            <w:rStyle w:val="Hyperlink"/>
            <w:b/>
            <w:bCs/>
            <w:sz w:val="24"/>
            <w:szCs w:val="24"/>
            <w:lang w:val="en-US"/>
          </w:rPr>
          <w:t>Dodojonov</w:t>
        </w:r>
        <w:r w:rsidR="00510B0E" w:rsidRPr="004424B0">
          <w:rPr>
            <w:rStyle w:val="Hyperlink"/>
            <w:b/>
            <w:bCs/>
            <w:sz w:val="24"/>
            <w:szCs w:val="24"/>
          </w:rPr>
          <w:t>@</w:t>
        </w:r>
        <w:r w:rsidR="00510B0E" w:rsidRPr="004424B0">
          <w:rPr>
            <w:rStyle w:val="Hyperlink"/>
            <w:b/>
            <w:bCs/>
            <w:sz w:val="24"/>
            <w:szCs w:val="24"/>
            <w:lang w:val="en-US"/>
          </w:rPr>
          <w:t>abtassoc</w:t>
        </w:r>
        <w:r w:rsidR="00510B0E" w:rsidRPr="004424B0">
          <w:rPr>
            <w:rStyle w:val="Hyperlink"/>
            <w:b/>
            <w:bCs/>
            <w:sz w:val="24"/>
            <w:szCs w:val="24"/>
          </w:rPr>
          <w:t>.</w:t>
        </w:r>
        <w:r w:rsidR="00510B0E" w:rsidRPr="004424B0">
          <w:rPr>
            <w:rStyle w:val="Hyperlink"/>
            <w:b/>
            <w:bCs/>
            <w:sz w:val="24"/>
            <w:szCs w:val="24"/>
            <w:lang w:val="en-US"/>
          </w:rPr>
          <w:t>com</w:t>
        </w:r>
      </w:hyperlink>
      <w:r w:rsidR="00510B0E" w:rsidRPr="00510B0E">
        <w:rPr>
          <w:b/>
          <w:bCs/>
          <w:sz w:val="24"/>
          <w:szCs w:val="24"/>
        </w:rPr>
        <w:t xml:space="preserve"> </w:t>
      </w:r>
      <w:r w:rsidR="00510B0E">
        <w:rPr>
          <w:b/>
          <w:bCs/>
          <w:sz w:val="24"/>
          <w:szCs w:val="24"/>
        </w:rPr>
        <w:t xml:space="preserve">с копией на электронный адрес </w:t>
      </w:r>
      <w:hyperlink r:id="rId12" w:history="1">
        <w:r w:rsidR="00342128" w:rsidRPr="000D06E5">
          <w:rPr>
            <w:rStyle w:val="Hyperlink"/>
            <w:b/>
            <w:bCs/>
            <w:sz w:val="24"/>
            <w:szCs w:val="24"/>
            <w:lang w:val="en-US"/>
          </w:rPr>
          <w:t>Dilovar</w:t>
        </w:r>
        <w:r w:rsidR="00342128" w:rsidRPr="000D06E5">
          <w:rPr>
            <w:rStyle w:val="Hyperlink"/>
            <w:b/>
            <w:bCs/>
            <w:sz w:val="24"/>
            <w:szCs w:val="24"/>
          </w:rPr>
          <w:t>_</w:t>
        </w:r>
        <w:r w:rsidR="00342128" w:rsidRPr="000D06E5">
          <w:rPr>
            <w:rStyle w:val="Hyperlink"/>
            <w:b/>
            <w:bCs/>
            <w:sz w:val="24"/>
            <w:szCs w:val="24"/>
            <w:lang w:val="en-US"/>
          </w:rPr>
          <w:t>Mirrahmatov</w:t>
        </w:r>
        <w:r w:rsidR="00342128" w:rsidRPr="000D06E5">
          <w:rPr>
            <w:rStyle w:val="Hyperlink"/>
            <w:b/>
            <w:bCs/>
            <w:sz w:val="24"/>
            <w:szCs w:val="24"/>
          </w:rPr>
          <w:t>@abtassoc.com</w:t>
        </w:r>
      </w:hyperlink>
      <w:r w:rsidR="00510B0E" w:rsidRPr="00510B0E">
        <w:rPr>
          <w:b/>
          <w:bCs/>
          <w:sz w:val="24"/>
          <w:szCs w:val="24"/>
        </w:rPr>
        <w:t xml:space="preserve"> </w:t>
      </w:r>
      <w:r w:rsidR="00510B0E">
        <w:rPr>
          <w:b/>
          <w:bCs/>
          <w:sz w:val="24"/>
          <w:szCs w:val="24"/>
        </w:rPr>
        <w:t xml:space="preserve">с указанием темы </w:t>
      </w:r>
      <w:r w:rsidR="00510B0E" w:rsidRPr="00510B0E">
        <w:rPr>
          <w:rFonts w:eastAsia="Times New Roman" w:cstheme="minorHAnsi"/>
          <w:b/>
          <w:bCs/>
          <w:sz w:val="24"/>
          <w:szCs w:val="24"/>
          <w:lang w:eastAsia="ru-RU"/>
        </w:rPr>
        <w:t>RFQ – USAID/</w:t>
      </w:r>
      <w:r w:rsidR="00342128">
        <w:rPr>
          <w:rFonts w:eastAsia="Times New Roman" w:cstheme="minorHAnsi"/>
          <w:b/>
          <w:bCs/>
          <w:sz w:val="24"/>
          <w:szCs w:val="24"/>
          <w:lang w:val="en-US" w:eastAsia="ru-RU"/>
        </w:rPr>
        <w:t>LHSS</w:t>
      </w:r>
      <w:r w:rsidR="00D277A4" w:rsidRPr="00D277A4">
        <w:rPr>
          <w:rFonts w:eastAsia="Times New Roman" w:cstheme="minorHAnsi"/>
          <w:b/>
          <w:bCs/>
          <w:sz w:val="24"/>
          <w:szCs w:val="24"/>
          <w:lang w:eastAsia="ru-RU"/>
        </w:rPr>
        <w:t>-</w:t>
      </w:r>
      <w:r w:rsidR="00D277A4">
        <w:rPr>
          <w:rFonts w:eastAsia="Times New Roman" w:cstheme="minorHAnsi"/>
          <w:b/>
          <w:bCs/>
          <w:sz w:val="24"/>
          <w:szCs w:val="24"/>
          <w:lang w:val="en-US" w:eastAsia="ru-RU"/>
        </w:rPr>
        <w:t>GHS</w:t>
      </w:r>
      <w:r w:rsidR="00510B0E" w:rsidRPr="00510B0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 – </w:t>
      </w:r>
      <w:r w:rsidR="00510B0E" w:rsidRPr="00CC7818">
        <w:rPr>
          <w:rFonts w:eastAsia="Times New Roman" w:cstheme="minorHAnsi"/>
          <w:b/>
          <w:bCs/>
          <w:sz w:val="24"/>
          <w:szCs w:val="24"/>
          <w:lang w:eastAsia="ru-RU"/>
        </w:rPr>
        <w:t>00</w:t>
      </w:r>
      <w:r w:rsidR="00D277A4" w:rsidRPr="00CC781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1 </w:t>
      </w:r>
      <w:r w:rsidR="00510B0E" w:rsidRPr="00CC781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до 17:00 </w:t>
      </w:r>
      <w:r w:rsidR="00CC7818" w:rsidRPr="00CC781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9 Февраля </w:t>
      </w:r>
      <w:r w:rsidR="00510B0E" w:rsidRPr="00CC7818">
        <w:rPr>
          <w:rFonts w:eastAsia="Times New Roman" w:cstheme="minorHAnsi"/>
          <w:b/>
          <w:bCs/>
          <w:sz w:val="24"/>
          <w:szCs w:val="24"/>
          <w:lang w:eastAsia="ru-RU"/>
        </w:rPr>
        <w:t>202</w:t>
      </w:r>
      <w:r w:rsidR="00CC7818" w:rsidRPr="00CC7818"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="00510B0E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года.</w:t>
      </w:r>
    </w:p>
    <w:p w14:paraId="4CF470EC" w14:textId="4B3BAE94" w:rsidR="00510B0E" w:rsidRPr="00510B0E" w:rsidRDefault="00510B0E" w:rsidP="00510B0E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spacing w:before="14" w:after="0" w:line="240" w:lineRule="auto"/>
        <w:ind w:right="-20"/>
        <w:jc w:val="both"/>
        <w:rPr>
          <w:rFonts w:eastAsia="Times New Roman" w:cstheme="minorHAnsi"/>
          <w:b/>
          <w:bCs/>
          <w:sz w:val="24"/>
          <w:szCs w:val="24"/>
        </w:rPr>
      </w:pPr>
      <w:r w:rsidRPr="00510B0E">
        <w:rPr>
          <w:rFonts w:eastAsia="Times New Roman" w:cstheme="minorHAnsi"/>
          <w:b/>
          <w:bCs/>
          <w:spacing w:val="-1"/>
          <w:sz w:val="24"/>
          <w:szCs w:val="24"/>
        </w:rPr>
        <w:t xml:space="preserve">Предложения, полученные после этой даты и времени, не будут приниматься. </w:t>
      </w:r>
      <w:r w:rsidRPr="00510B0E">
        <w:rPr>
          <w:rFonts w:eastAsia="Times New Roman" w:cstheme="minorHAnsi"/>
          <w:b/>
          <w:bCs/>
          <w:sz w:val="24"/>
          <w:szCs w:val="24"/>
        </w:rPr>
        <w:t>Получение вашего предложения будет подтверждено по электронной почте.</w:t>
      </w:r>
    </w:p>
    <w:p w14:paraId="1605D4AC" w14:textId="1D0952FF" w:rsidR="00510B0E" w:rsidRPr="00510B0E" w:rsidRDefault="00510B0E" w:rsidP="00510B0E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spacing w:before="14" w:after="0" w:line="240" w:lineRule="auto"/>
        <w:ind w:right="-20"/>
        <w:jc w:val="both"/>
        <w:rPr>
          <w:rFonts w:eastAsia="Times New Roman" w:cstheme="minorHAnsi"/>
          <w:b/>
          <w:bCs/>
          <w:sz w:val="24"/>
          <w:szCs w:val="24"/>
        </w:rPr>
      </w:pPr>
      <w:r w:rsidRPr="00510B0E">
        <w:rPr>
          <w:rFonts w:eastAsia="Times New Roman" w:cstheme="minorHAnsi"/>
          <w:b/>
          <w:bCs/>
          <w:sz w:val="24"/>
          <w:szCs w:val="24"/>
        </w:rPr>
        <w:t xml:space="preserve">Предложения, которые не соответствуют всем требованиям данного Запроса, </w:t>
      </w:r>
      <w:r>
        <w:rPr>
          <w:rFonts w:eastAsia="Times New Roman" w:cstheme="minorHAnsi"/>
          <w:b/>
          <w:bCs/>
          <w:sz w:val="24"/>
          <w:szCs w:val="24"/>
        </w:rPr>
        <w:t xml:space="preserve">не подлежат рассмотрению. </w:t>
      </w:r>
    </w:p>
    <w:p w14:paraId="09825BD5" w14:textId="09C1D4C9" w:rsidR="00510B0E" w:rsidRDefault="00510B0E" w:rsidP="00510B0E">
      <w:pPr>
        <w:pStyle w:val="ListParagraph"/>
        <w:ind w:left="1080"/>
        <w:rPr>
          <w:b/>
          <w:bCs/>
          <w:sz w:val="24"/>
          <w:szCs w:val="24"/>
        </w:rPr>
      </w:pPr>
    </w:p>
    <w:p w14:paraId="6C0CD5D2" w14:textId="32A2F3B7" w:rsidR="00510B0E" w:rsidRPr="0073497D" w:rsidRDefault="00510B0E" w:rsidP="00510B0E">
      <w:pPr>
        <w:pStyle w:val="ListParagraph"/>
        <w:ind w:left="1080"/>
        <w:rPr>
          <w:b/>
          <w:bCs/>
          <w:i/>
          <w:iCs/>
          <w:sz w:val="24"/>
          <w:szCs w:val="24"/>
        </w:rPr>
      </w:pPr>
      <w:r w:rsidRPr="0073497D">
        <w:rPr>
          <w:b/>
          <w:bCs/>
          <w:i/>
          <w:iCs/>
          <w:sz w:val="24"/>
          <w:szCs w:val="24"/>
        </w:rPr>
        <w:t xml:space="preserve">Представительство </w:t>
      </w:r>
      <w:proofErr w:type="spellStart"/>
      <w:r w:rsidRPr="0073497D">
        <w:rPr>
          <w:b/>
          <w:bCs/>
          <w:i/>
          <w:iCs/>
          <w:sz w:val="24"/>
          <w:szCs w:val="24"/>
        </w:rPr>
        <w:t>Абт</w:t>
      </w:r>
      <w:proofErr w:type="spellEnd"/>
      <w:r w:rsidRPr="0073497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3497D">
        <w:rPr>
          <w:b/>
          <w:bCs/>
          <w:i/>
          <w:iCs/>
          <w:sz w:val="24"/>
          <w:szCs w:val="24"/>
        </w:rPr>
        <w:t>Ассосиэйтс</w:t>
      </w:r>
      <w:proofErr w:type="spellEnd"/>
      <w:r w:rsidRPr="0073497D">
        <w:rPr>
          <w:b/>
          <w:bCs/>
          <w:i/>
          <w:iCs/>
          <w:sz w:val="24"/>
          <w:szCs w:val="24"/>
        </w:rPr>
        <w:t xml:space="preserve"> инк в Республике Таджикистан освобождено от уплаты НДС. Цены должны быть указаны без НДС</w:t>
      </w:r>
      <w:r w:rsidR="0073497D" w:rsidRPr="0073497D">
        <w:rPr>
          <w:b/>
          <w:bCs/>
          <w:i/>
          <w:iCs/>
          <w:sz w:val="24"/>
          <w:szCs w:val="24"/>
        </w:rPr>
        <w:t xml:space="preserve">, в случае если участник является НДС плательщиком НДС должен указываться отдельно от цены. </w:t>
      </w:r>
    </w:p>
    <w:p w14:paraId="1DE7FC97" w14:textId="107AE130" w:rsidR="0073497D" w:rsidRDefault="0073497D" w:rsidP="0073497D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Представительство </w:t>
      </w:r>
      <w:proofErr w:type="spellStart"/>
      <w:r>
        <w:rPr>
          <w:b/>
          <w:bCs/>
          <w:sz w:val="24"/>
          <w:szCs w:val="24"/>
        </w:rPr>
        <w:t>Абт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Ассосиэйтс</w:t>
      </w:r>
      <w:proofErr w:type="spellEnd"/>
      <w:r>
        <w:rPr>
          <w:b/>
          <w:bCs/>
          <w:sz w:val="24"/>
          <w:szCs w:val="24"/>
        </w:rPr>
        <w:t xml:space="preserve"> инк в РТ имеет право на а) отклонение любого предложения, основываясь на несоблюдение требований, </w:t>
      </w:r>
      <w:r w:rsidR="00342128">
        <w:rPr>
          <w:b/>
          <w:bCs/>
          <w:sz w:val="24"/>
          <w:szCs w:val="24"/>
        </w:rPr>
        <w:t>б) продление</w:t>
      </w:r>
      <w:r>
        <w:rPr>
          <w:b/>
          <w:bCs/>
          <w:sz w:val="24"/>
          <w:szCs w:val="24"/>
        </w:rPr>
        <w:t xml:space="preserve"> сроков на предоставление коммерческих предложений, уведомляя об этом участников, в) заключение договора на часть товаров либо заключение несколько договоров. </w:t>
      </w:r>
    </w:p>
    <w:p w14:paraId="306C727F" w14:textId="5A071BB5" w:rsidR="0073497D" w:rsidRPr="0073497D" w:rsidRDefault="0073497D" w:rsidP="0073497D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Расходы на подготовку коммерческого предложения несут заявители. </w:t>
      </w:r>
    </w:p>
    <w:p w14:paraId="5BF48C06" w14:textId="77777777" w:rsidR="00416BED" w:rsidRPr="00FF6BBB" w:rsidRDefault="00416BED" w:rsidP="00416BED">
      <w:pPr>
        <w:pStyle w:val="ListParagraph"/>
        <w:ind w:left="1080"/>
        <w:rPr>
          <w:b/>
          <w:bCs/>
          <w:sz w:val="24"/>
          <w:szCs w:val="24"/>
        </w:rPr>
      </w:pPr>
    </w:p>
    <w:p w14:paraId="7B4C06DD" w14:textId="77777777" w:rsidR="00EC42EA" w:rsidRDefault="00EC42EA">
      <w:pPr>
        <w:rPr>
          <w:sz w:val="20"/>
          <w:szCs w:val="20"/>
        </w:rPr>
      </w:pPr>
      <w:r>
        <w:rPr>
          <w:sz w:val="20"/>
          <w:szCs w:val="20"/>
        </w:rPr>
        <w:t>Ф,И,О, ____________________________________________Подпись                                                                                             Дата _____________________________________</w:t>
      </w:r>
    </w:p>
    <w:p w14:paraId="2EB04DC3" w14:textId="77777777" w:rsidR="00EC42EA" w:rsidRPr="00EC42EA" w:rsidRDefault="00EC42EA">
      <w:pPr>
        <w:rPr>
          <w:sz w:val="20"/>
          <w:szCs w:val="20"/>
        </w:rPr>
      </w:pPr>
      <w:r>
        <w:rPr>
          <w:sz w:val="20"/>
          <w:szCs w:val="20"/>
        </w:rPr>
        <w:t xml:space="preserve">Печать </w:t>
      </w:r>
    </w:p>
    <w:sectPr w:rsidR="00EC42EA" w:rsidRPr="00EC42EA" w:rsidSect="00531E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EB23" w14:textId="77777777" w:rsidR="00531E3A" w:rsidRDefault="00531E3A" w:rsidP="001B7522">
      <w:pPr>
        <w:spacing w:after="0" w:line="240" w:lineRule="auto"/>
      </w:pPr>
      <w:r>
        <w:separator/>
      </w:r>
    </w:p>
  </w:endnote>
  <w:endnote w:type="continuationSeparator" w:id="0">
    <w:p w14:paraId="21C4ADAB" w14:textId="77777777" w:rsidR="00531E3A" w:rsidRDefault="00531E3A" w:rsidP="001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12EC" w14:textId="77777777" w:rsidR="00CD7F3C" w:rsidRDefault="00CD7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AA52" w14:textId="77777777" w:rsidR="00CD7F3C" w:rsidRDefault="00CD7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D1A7" w14:textId="77777777" w:rsidR="00CD7F3C" w:rsidRDefault="00CD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A255" w14:textId="77777777" w:rsidR="00531E3A" w:rsidRDefault="00531E3A" w:rsidP="001B7522">
      <w:pPr>
        <w:spacing w:after="0" w:line="240" w:lineRule="auto"/>
      </w:pPr>
      <w:r>
        <w:separator/>
      </w:r>
    </w:p>
  </w:footnote>
  <w:footnote w:type="continuationSeparator" w:id="0">
    <w:p w14:paraId="022B971B" w14:textId="77777777" w:rsidR="00531E3A" w:rsidRDefault="00531E3A" w:rsidP="001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D3AB" w14:textId="77777777" w:rsidR="00CD7F3C" w:rsidRDefault="00CD7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7C71" w14:textId="77777777" w:rsidR="001B7522" w:rsidRDefault="001B7522" w:rsidP="001B7522">
    <w:pPr>
      <w:pStyle w:val="Header"/>
      <w:jc w:val="right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11A651CF" wp14:editId="349D21A1">
          <wp:extent cx="1019446" cy="487680"/>
          <wp:effectExtent l="0" t="0" r="9525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98" cy="49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CFCE26" w14:textId="77777777" w:rsidR="001B7522" w:rsidRDefault="001B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49A0" w14:textId="77777777" w:rsidR="00CD7F3C" w:rsidRDefault="00CD7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272"/>
    <w:multiLevelType w:val="hybridMultilevel"/>
    <w:tmpl w:val="51024C9E"/>
    <w:lvl w:ilvl="0" w:tplc="E8DCC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774"/>
    <w:multiLevelType w:val="hybridMultilevel"/>
    <w:tmpl w:val="C9E0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93386">
    <w:abstractNumId w:val="2"/>
  </w:num>
  <w:num w:numId="2" w16cid:durableId="578755470">
    <w:abstractNumId w:val="0"/>
  </w:num>
  <w:num w:numId="3" w16cid:durableId="142653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4"/>
    <w:rsid w:val="00010D7B"/>
    <w:rsid w:val="00042729"/>
    <w:rsid w:val="00047574"/>
    <w:rsid w:val="00052582"/>
    <w:rsid w:val="00054977"/>
    <w:rsid w:val="00071BFB"/>
    <w:rsid w:val="00090BC4"/>
    <w:rsid w:val="000A341D"/>
    <w:rsid w:val="000E33FD"/>
    <w:rsid w:val="0010406D"/>
    <w:rsid w:val="00125157"/>
    <w:rsid w:val="001947E7"/>
    <w:rsid w:val="001A4D4B"/>
    <w:rsid w:val="001B7522"/>
    <w:rsid w:val="001D3A67"/>
    <w:rsid w:val="00251CBD"/>
    <w:rsid w:val="002705E9"/>
    <w:rsid w:val="00270E10"/>
    <w:rsid w:val="002A02D3"/>
    <w:rsid w:val="002A3065"/>
    <w:rsid w:val="002A4B7A"/>
    <w:rsid w:val="002E79B7"/>
    <w:rsid w:val="002F2BE6"/>
    <w:rsid w:val="00303FA0"/>
    <w:rsid w:val="003154B8"/>
    <w:rsid w:val="00321E7F"/>
    <w:rsid w:val="00342128"/>
    <w:rsid w:val="0037048E"/>
    <w:rsid w:val="003865E6"/>
    <w:rsid w:val="003A2C22"/>
    <w:rsid w:val="003B6D43"/>
    <w:rsid w:val="003F38AB"/>
    <w:rsid w:val="00414432"/>
    <w:rsid w:val="00416BED"/>
    <w:rsid w:val="004336D8"/>
    <w:rsid w:val="0044740E"/>
    <w:rsid w:val="00493145"/>
    <w:rsid w:val="004A0D00"/>
    <w:rsid w:val="004B230A"/>
    <w:rsid w:val="004D27FE"/>
    <w:rsid w:val="004D5224"/>
    <w:rsid w:val="00501144"/>
    <w:rsid w:val="00510B0E"/>
    <w:rsid w:val="0052786B"/>
    <w:rsid w:val="00531E3A"/>
    <w:rsid w:val="00536DD5"/>
    <w:rsid w:val="005C4EA7"/>
    <w:rsid w:val="00651C01"/>
    <w:rsid w:val="006A1BF5"/>
    <w:rsid w:val="006B2724"/>
    <w:rsid w:val="006F540A"/>
    <w:rsid w:val="00703CAD"/>
    <w:rsid w:val="007245E6"/>
    <w:rsid w:val="0073497D"/>
    <w:rsid w:val="00741750"/>
    <w:rsid w:val="00765A2E"/>
    <w:rsid w:val="0076600B"/>
    <w:rsid w:val="0076700F"/>
    <w:rsid w:val="007A4176"/>
    <w:rsid w:val="007D283A"/>
    <w:rsid w:val="007D54A8"/>
    <w:rsid w:val="00822F8F"/>
    <w:rsid w:val="0083469D"/>
    <w:rsid w:val="00836162"/>
    <w:rsid w:val="00843E38"/>
    <w:rsid w:val="008A3AAE"/>
    <w:rsid w:val="008A709B"/>
    <w:rsid w:val="008B6520"/>
    <w:rsid w:val="008E09BE"/>
    <w:rsid w:val="00916D44"/>
    <w:rsid w:val="009A733D"/>
    <w:rsid w:val="009E5B33"/>
    <w:rsid w:val="00A51B27"/>
    <w:rsid w:val="00AB001A"/>
    <w:rsid w:val="00AC2903"/>
    <w:rsid w:val="00AD5C1F"/>
    <w:rsid w:val="00B44C63"/>
    <w:rsid w:val="00BD60DD"/>
    <w:rsid w:val="00BE4846"/>
    <w:rsid w:val="00BF609A"/>
    <w:rsid w:val="00C26B0B"/>
    <w:rsid w:val="00C33257"/>
    <w:rsid w:val="00C42E82"/>
    <w:rsid w:val="00CC0643"/>
    <w:rsid w:val="00CC7818"/>
    <w:rsid w:val="00CD7944"/>
    <w:rsid w:val="00CD7F3C"/>
    <w:rsid w:val="00CF08FC"/>
    <w:rsid w:val="00CF6CAF"/>
    <w:rsid w:val="00D06947"/>
    <w:rsid w:val="00D15BCD"/>
    <w:rsid w:val="00D168BC"/>
    <w:rsid w:val="00D277A4"/>
    <w:rsid w:val="00D702EB"/>
    <w:rsid w:val="00DC2615"/>
    <w:rsid w:val="00E20D1A"/>
    <w:rsid w:val="00E32EEC"/>
    <w:rsid w:val="00E33FDC"/>
    <w:rsid w:val="00E434F7"/>
    <w:rsid w:val="00E738EF"/>
    <w:rsid w:val="00E73DAD"/>
    <w:rsid w:val="00E759D5"/>
    <w:rsid w:val="00EA1A06"/>
    <w:rsid w:val="00EB378C"/>
    <w:rsid w:val="00EB3C61"/>
    <w:rsid w:val="00EC42EA"/>
    <w:rsid w:val="00EE1E99"/>
    <w:rsid w:val="00EE5346"/>
    <w:rsid w:val="00EE54D4"/>
    <w:rsid w:val="00F07CF3"/>
    <w:rsid w:val="00F27907"/>
    <w:rsid w:val="00F370A8"/>
    <w:rsid w:val="00F37891"/>
    <w:rsid w:val="00F65C6B"/>
    <w:rsid w:val="00F77D56"/>
    <w:rsid w:val="00FB2877"/>
    <w:rsid w:val="00FB4A67"/>
    <w:rsid w:val="00FE3D39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849C"/>
  <w15:chartTrackingRefBased/>
  <w15:docId w15:val="{8A5D366D-B0B3-4557-B531-A4937E3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22"/>
  </w:style>
  <w:style w:type="paragraph" w:styleId="Footer">
    <w:name w:val="footer"/>
    <w:basedOn w:val="Normal"/>
    <w:link w:val="FooterChar"/>
    <w:uiPriority w:val="99"/>
    <w:unhideWhenUsed/>
    <w:rsid w:val="001B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522"/>
  </w:style>
  <w:style w:type="paragraph" w:styleId="ListParagraph">
    <w:name w:val="List Paragraph"/>
    <w:basedOn w:val="Normal"/>
    <w:uiPriority w:val="34"/>
    <w:qFormat/>
    <w:rsid w:val="00FF6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lovar_Mirrahmatov@abtasso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hrob_Dodojonov@abtasso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7B6016FB4F246AFA23AF090C73798" ma:contentTypeVersion="18" ma:contentTypeDescription="Create a new document." ma:contentTypeScope="" ma:versionID="0f74c9c2edc6313310c1fb7132dda25b">
  <xsd:schema xmlns:xsd="http://www.w3.org/2001/XMLSchema" xmlns:xs="http://www.w3.org/2001/XMLSchema" xmlns:p="http://schemas.microsoft.com/office/2006/metadata/properties" xmlns:ns2="18fd7d4a-d8e5-4645-9e5e-ef023b3cf0c6" xmlns:ns3="3454fa65-37a1-4ee7-8e84-078bef5caf23" xmlns:ns4="6c854b04-c9c6-4391-adbe-2e73191270e7" targetNamespace="http://schemas.microsoft.com/office/2006/metadata/properties" ma:root="true" ma:fieldsID="f35cbc547872d6db004fc4d8176b902e" ns2:_="" ns3:_="" ns4:_="">
    <xsd:import namespace="18fd7d4a-d8e5-4645-9e5e-ef023b3cf0c6"/>
    <xsd:import namespace="3454fa65-37a1-4ee7-8e84-078bef5caf23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7d4a-d8e5-4645-9e5e-ef023b3cf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4fa65-37a1-4ee7-8e84-078bef5ca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824796a-932f-4187-a9e9-bacc5078e84c}" ma:internalName="TaxCatchAll" ma:showField="CatchAllData" ma:web="3454fa65-37a1-4ee7-8e84-078bef5ca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54b04-c9c6-4391-adbe-2e73191270e7" xsi:nil="true"/>
    <lcf76f155ced4ddcb4097134ff3c332f xmlns="18fd7d4a-d8e5-4645-9e5e-ef023b3cf0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D4FA3-7B89-4585-8BC2-B2D4B9AB7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3EA19-E871-4508-B14E-ED064E829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5D67F-4630-4265-9199-43E7A49D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7d4a-d8e5-4645-9e5e-ef023b3cf0c6"/>
    <ds:schemaRef ds:uri="3454fa65-37a1-4ee7-8e84-078bef5caf23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3F493-9F96-4AC4-988E-E2A3BD40CF53}">
  <ds:schemaRefs>
    <ds:schemaRef ds:uri="http://schemas.microsoft.com/office/2006/metadata/properties"/>
    <ds:schemaRef ds:uri="http://schemas.microsoft.com/office/infopath/2007/PartnerControls"/>
    <ds:schemaRef ds:uri="6c854b04-c9c6-4391-adbe-2e73191270e7"/>
    <ds:schemaRef ds:uri="18fd7d4a-d8e5-4645-9e5e-ef023b3cf0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Surayo Pulatova</dc:creator>
  <cp:keywords/>
  <dc:description/>
  <cp:lastModifiedBy>Suhrob Dodojonov</cp:lastModifiedBy>
  <cp:revision>96</cp:revision>
  <dcterms:created xsi:type="dcterms:W3CDTF">2022-12-28T10:00:00Z</dcterms:created>
  <dcterms:modified xsi:type="dcterms:W3CDTF">2024-01-23T09:39:00Z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0x0101000E07B6016FB4F246AFA23AF090C73798</vt:lpwstr>
  </property>
  <property fmtid="{D5CDD505-2E9C-101B-9397-08002B2CF9AE}" pid="3" name="MediaServiceImageTags">
    <vt:lpwstr/>
  </property>
</Properties>
</file>