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24C8" w14:textId="77777777"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REQUEST FOR EXPRESSIONS OF INTEREST</w:t>
      </w:r>
    </w:p>
    <w:p w14:paraId="5E45DBEE" w14:textId="56F1AADF"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39131A0B" w14:textId="77777777" w:rsidR="009830E4" w:rsidRDefault="009830E4">
      <w:pPr>
        <w:suppressAutoHyphens/>
        <w:rPr>
          <w:rFonts w:ascii="Times New Roman" w:hAnsi="Times New Roman"/>
          <w:spacing w:val="-2"/>
        </w:rPr>
      </w:pPr>
    </w:p>
    <w:p w14:paraId="2CDAF702" w14:textId="77777777" w:rsidR="009830E4" w:rsidRPr="00351CCB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6742C77D" w14:textId="08485D1C" w:rsidR="009830E4" w:rsidRPr="003C4129" w:rsidRDefault="00AA512A">
      <w:pPr>
        <w:suppressAutoHyphens/>
        <w:rPr>
          <w:rFonts w:ascii="Times New Roman" w:hAnsi="Times New Roman"/>
          <w:b/>
          <w:spacing w:val="-2"/>
          <w:sz w:val="24"/>
          <w:szCs w:val="24"/>
        </w:rPr>
      </w:pPr>
      <w:r w:rsidRPr="003C4129">
        <w:rPr>
          <w:rFonts w:ascii="Times New Roman" w:hAnsi="Times New Roman"/>
          <w:spacing w:val="-2"/>
          <w:sz w:val="24"/>
          <w:szCs w:val="24"/>
        </w:rPr>
        <w:t>Tajikistan</w:t>
      </w:r>
    </w:p>
    <w:p w14:paraId="12BB7065" w14:textId="77777777" w:rsidR="00237D88" w:rsidRPr="00237D88" w:rsidRDefault="00237D88" w:rsidP="00237D88">
      <w:pPr>
        <w:rPr>
          <w:rFonts w:ascii="Times New Roman" w:hAnsi="Times New Roman"/>
          <w:spacing w:val="-2"/>
          <w:sz w:val="24"/>
          <w:szCs w:val="24"/>
        </w:rPr>
      </w:pPr>
      <w:r w:rsidRPr="00237D88">
        <w:rPr>
          <w:rFonts w:ascii="Times New Roman" w:hAnsi="Times New Roman"/>
          <w:spacing w:val="-2"/>
          <w:sz w:val="24"/>
          <w:szCs w:val="24"/>
        </w:rPr>
        <w:t xml:space="preserve">TAJIKISTAN DIGITAL FOUNDATIONS PROJECT </w:t>
      </w:r>
    </w:p>
    <w:p w14:paraId="0256C2C6" w14:textId="53B59EF6" w:rsidR="00EC50B8" w:rsidRPr="003C4129" w:rsidRDefault="00EC50B8" w:rsidP="00EC50B8">
      <w:pPr>
        <w:pStyle w:val="ae"/>
        <w:rPr>
          <w:rFonts w:ascii="Times New Roman" w:hAnsi="Times New Roman"/>
          <w:szCs w:val="24"/>
        </w:rPr>
      </w:pPr>
      <w:r w:rsidRPr="003C4129">
        <w:rPr>
          <w:rFonts w:ascii="Times New Roman" w:hAnsi="Times New Roman"/>
          <w:szCs w:val="24"/>
        </w:rPr>
        <w:t>Loan No./Credit No./</w:t>
      </w:r>
      <w:r w:rsidR="001B0D84" w:rsidRPr="003C4129">
        <w:rPr>
          <w:rFonts w:ascii="Times New Roman" w:hAnsi="Times New Roman"/>
          <w:szCs w:val="24"/>
        </w:rPr>
        <w:t xml:space="preserve"> </w:t>
      </w:r>
      <w:r w:rsidR="000C4041" w:rsidRPr="003C4129">
        <w:rPr>
          <w:rFonts w:ascii="Times New Roman" w:hAnsi="Times New Roman"/>
          <w:szCs w:val="24"/>
          <w:u w:val="single"/>
        </w:rPr>
        <w:t xml:space="preserve">Grant </w:t>
      </w:r>
      <w:r w:rsidR="003B0ADD" w:rsidRPr="003C4129">
        <w:rPr>
          <w:rFonts w:ascii="Times New Roman" w:hAnsi="Times New Roman"/>
          <w:szCs w:val="24"/>
          <w:u w:val="single"/>
        </w:rPr>
        <w:t>No</w:t>
      </w:r>
      <w:r w:rsidR="003B0ADD" w:rsidRPr="003C4129">
        <w:rPr>
          <w:rFonts w:ascii="Times New Roman" w:hAnsi="Times New Roman"/>
          <w:szCs w:val="24"/>
        </w:rPr>
        <w:t xml:space="preserve">.: </w:t>
      </w:r>
      <w:r w:rsidR="00237D88" w:rsidRPr="00237D88">
        <w:rPr>
          <w:rFonts w:ascii="Times New Roman" w:hAnsi="Times New Roman"/>
          <w:szCs w:val="24"/>
        </w:rPr>
        <w:t>P171382</w:t>
      </w:r>
    </w:p>
    <w:p w14:paraId="66AB08AB" w14:textId="79BAC344" w:rsidR="00EC50B8" w:rsidRPr="00237D88" w:rsidRDefault="00EC50B8" w:rsidP="00A72F01">
      <w:pPr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3C4129">
        <w:rPr>
          <w:rFonts w:ascii="Times New Roman" w:hAnsi="Times New Roman"/>
          <w:bCs/>
          <w:sz w:val="24"/>
          <w:szCs w:val="24"/>
        </w:rPr>
        <w:t>Assignment Title</w:t>
      </w:r>
      <w:r w:rsidR="000C4041" w:rsidRPr="003C4129">
        <w:rPr>
          <w:rFonts w:ascii="Times New Roman" w:hAnsi="Times New Roman"/>
          <w:bCs/>
          <w:sz w:val="24"/>
          <w:szCs w:val="24"/>
        </w:rPr>
        <w:t>:</w:t>
      </w:r>
      <w:r w:rsidR="000C4041" w:rsidRPr="003C4129">
        <w:rPr>
          <w:rFonts w:ascii="Times New Roman" w:hAnsi="Times New Roman"/>
          <w:b/>
          <w:sz w:val="24"/>
          <w:szCs w:val="24"/>
        </w:rPr>
        <w:t xml:space="preserve"> </w:t>
      </w:r>
      <w:r w:rsidR="0045205A" w:rsidRPr="0045205A">
        <w:rPr>
          <w:rFonts w:ascii="Times New Roman" w:hAnsi="Times New Roman"/>
          <w:bCs/>
          <w:sz w:val="24"/>
          <w:szCs w:val="24"/>
        </w:rPr>
        <w:t xml:space="preserve">For an individual consultant to assess the feasibility of a unified payment </w:t>
      </w:r>
      <w:r w:rsidR="0045205A" w:rsidRPr="0045205A">
        <w:rPr>
          <w:rFonts w:ascii="Times New Roman" w:hAnsi="Times New Roman"/>
          <w:sz w:val="24"/>
          <w:szCs w:val="24"/>
        </w:rPr>
        <w:t>gateway for C2G/B2G payments and develop its technical specifications</w:t>
      </w:r>
    </w:p>
    <w:p w14:paraId="4A7867CE" w14:textId="4CC5BE26" w:rsidR="00EC50B8" w:rsidRPr="00237D88" w:rsidRDefault="00EC50B8">
      <w:pPr>
        <w:suppressAutoHyphens/>
        <w:rPr>
          <w:rFonts w:ascii="Times New Roman" w:hAnsi="Times New Roman"/>
          <w:bCs/>
          <w:sz w:val="24"/>
          <w:szCs w:val="24"/>
        </w:rPr>
      </w:pPr>
      <w:r w:rsidRPr="003C4129">
        <w:rPr>
          <w:rFonts w:ascii="Times New Roman" w:hAnsi="Times New Roman"/>
          <w:bCs/>
          <w:spacing w:val="-2"/>
          <w:sz w:val="24"/>
          <w:szCs w:val="24"/>
        </w:rPr>
        <w:t>Reference No.</w:t>
      </w:r>
      <w:r w:rsidRPr="003C4129">
        <w:rPr>
          <w:rFonts w:ascii="Times New Roman" w:hAnsi="Times New Roman"/>
          <w:spacing w:val="-2"/>
          <w:sz w:val="24"/>
          <w:szCs w:val="24"/>
        </w:rPr>
        <w:t xml:space="preserve"> (as per Procurement Plan)</w:t>
      </w:r>
      <w:r w:rsidR="000C4041" w:rsidRPr="003C4129">
        <w:rPr>
          <w:rFonts w:ascii="Times New Roman" w:hAnsi="Times New Roman"/>
          <w:spacing w:val="-2"/>
          <w:sz w:val="24"/>
          <w:szCs w:val="24"/>
        </w:rPr>
        <w:t xml:space="preserve">: </w:t>
      </w:r>
      <w:r w:rsidR="0045205A" w:rsidRPr="0045205A">
        <w:rPr>
          <w:rFonts w:ascii="Times New Roman" w:hAnsi="Times New Roman"/>
          <w:bCs/>
          <w:spacing w:val="-2"/>
          <w:sz w:val="24"/>
          <w:szCs w:val="24"/>
        </w:rPr>
        <w:t>TDFP/CS/IC-01</w:t>
      </w:r>
    </w:p>
    <w:p w14:paraId="083321F5" w14:textId="77777777" w:rsidR="009830E4" w:rsidRPr="001D70EB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2CAA587F" w14:textId="2E4C09AA" w:rsidR="00916E24" w:rsidRPr="003942A7" w:rsidRDefault="009830E4" w:rsidP="00916E24">
      <w:pPr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3C4129" w:rsidRPr="00A42DD4">
        <w:rPr>
          <w:rFonts w:ascii="Times New Roman" w:hAnsi="Times New Roman"/>
          <w:spacing w:val="-2"/>
          <w:sz w:val="24"/>
        </w:rPr>
        <w:t>Ministry of Finance of the Republic of Tajikistan</w:t>
      </w:r>
      <w:r w:rsidR="00237D88">
        <w:rPr>
          <w:rFonts w:ascii="Times New Roman" w:hAnsi="Times New Roman"/>
          <w:spacing w:val="-2"/>
          <w:sz w:val="24"/>
        </w:rPr>
        <w:t xml:space="preserve"> has received</w:t>
      </w:r>
      <w:r w:rsidR="003C4129" w:rsidRPr="00A42DD4">
        <w:rPr>
          <w:rFonts w:ascii="Times New Roman" w:hAnsi="Times New Roman"/>
          <w:spacing w:val="-2"/>
          <w:sz w:val="24"/>
        </w:rPr>
        <w:t xml:space="preserve"> </w:t>
      </w:r>
      <w:r w:rsidR="00237D88" w:rsidRPr="00237D88">
        <w:rPr>
          <w:rFonts w:ascii="Times New Roman" w:hAnsi="Times New Roman"/>
          <w:spacing w:val="-2"/>
          <w:sz w:val="24"/>
        </w:rPr>
        <w:t xml:space="preserve">project preparation advance (PPA) out of the WBG Project Preparation Facility for the preparation of the </w:t>
      </w:r>
      <w:r w:rsidR="00237D88">
        <w:rPr>
          <w:rFonts w:ascii="Times New Roman" w:hAnsi="Times New Roman"/>
          <w:spacing w:val="-2"/>
          <w:sz w:val="24"/>
        </w:rPr>
        <w:t xml:space="preserve">Tajikistan Digital Foundation </w:t>
      </w:r>
      <w:r w:rsidR="00237D88" w:rsidRPr="00237D88">
        <w:rPr>
          <w:rFonts w:ascii="Times New Roman" w:hAnsi="Times New Roman"/>
          <w:spacing w:val="-2"/>
          <w:sz w:val="24"/>
        </w:rPr>
        <w:t>Project</w:t>
      </w:r>
      <w:r w:rsidR="003C4129">
        <w:rPr>
          <w:rFonts w:ascii="Times New Roman" w:hAnsi="Times New Roman"/>
          <w:spacing w:val="-2"/>
          <w:sz w:val="24"/>
        </w:rPr>
        <w:t>,</w:t>
      </w:r>
      <w:r w:rsidR="003C4129" w:rsidRPr="00A42DD4">
        <w:rPr>
          <w:rFonts w:ascii="Times New Roman" w:hAnsi="Times New Roman"/>
          <w:spacing w:val="-2"/>
          <w:sz w:val="24"/>
        </w:rPr>
        <w:t xml:space="preserve"> </w:t>
      </w:r>
      <w:r w:rsidR="003C4129">
        <w:rPr>
          <w:rFonts w:ascii="Times New Roman" w:hAnsi="Times New Roman"/>
          <w:spacing w:val="-2"/>
          <w:sz w:val="24"/>
        </w:rPr>
        <w:t xml:space="preserve">and intends to apply part of the proceeds toward payments under the consultancy contract </w:t>
      </w:r>
      <w:r w:rsidR="003942A7" w:rsidRPr="003942A7">
        <w:rPr>
          <w:rFonts w:ascii="Times New Roman" w:hAnsi="Times New Roman"/>
          <w:sz w:val="24"/>
          <w:szCs w:val="24"/>
        </w:rPr>
        <w:t xml:space="preserve">for </w:t>
      </w:r>
      <w:r w:rsidR="0045205A" w:rsidRPr="0045205A">
        <w:rPr>
          <w:rFonts w:ascii="Times New Roman" w:hAnsi="Times New Roman"/>
          <w:bCs/>
          <w:sz w:val="24"/>
          <w:szCs w:val="24"/>
        </w:rPr>
        <w:t xml:space="preserve">an individual consultant to assess the feasibility of a unified payment </w:t>
      </w:r>
      <w:r w:rsidR="0045205A" w:rsidRPr="0045205A">
        <w:rPr>
          <w:rFonts w:ascii="Times New Roman" w:hAnsi="Times New Roman"/>
          <w:sz w:val="24"/>
          <w:szCs w:val="24"/>
        </w:rPr>
        <w:t>gateway for C2G/B2G payments and develop its technical specifications</w:t>
      </w:r>
      <w:r w:rsidR="00220153" w:rsidRPr="00140D77">
        <w:rPr>
          <w:rFonts w:ascii="Times New Roman" w:hAnsi="Times New Roman"/>
          <w:spacing w:val="-2"/>
          <w:sz w:val="24"/>
        </w:rPr>
        <w:t>.</w:t>
      </w:r>
      <w:r w:rsidRPr="00140D77">
        <w:rPr>
          <w:rFonts w:ascii="Times New Roman" w:hAnsi="Times New Roman"/>
          <w:spacing w:val="-2"/>
          <w:sz w:val="24"/>
        </w:rPr>
        <w:t xml:space="preserve"> </w:t>
      </w:r>
    </w:p>
    <w:p w14:paraId="1E11C539" w14:textId="77777777" w:rsidR="00916E24" w:rsidRPr="00825B5C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1F6D297" w14:textId="77777777" w:rsidR="0045205A" w:rsidRPr="0045205A" w:rsidRDefault="0045205A" w:rsidP="0045205A">
      <w:pPr>
        <w:spacing w:after="120" w:line="276" w:lineRule="auto"/>
        <w:jc w:val="both"/>
        <w:rPr>
          <w:rFonts w:ascii="Times New Roman" w:hAnsi="Times New Roman"/>
          <w:spacing w:val="-2"/>
          <w:sz w:val="24"/>
        </w:rPr>
      </w:pPr>
      <w:r w:rsidRPr="0045205A">
        <w:rPr>
          <w:rFonts w:ascii="Times New Roman" w:hAnsi="Times New Roman"/>
          <w:spacing w:val="-2"/>
          <w:sz w:val="24"/>
        </w:rPr>
        <w:t xml:space="preserve">The assessment shall (i) identify main stakeholders engaged in the P2G/B2G payments collection and processing; (ii) determine potential gaps and vulnerabilities of the current P2G/B2G ecosystem; (iii) assess if a modular system, based on a pluggable microservice architecture and offering standardized, integration interfaces for both service and payment providers (similar to MPay deployed in Moldova or other pertinent solutions elsewhere) can work in Tajikistan; and (iv) develop technical specifications for such an e-payment platform. </w:t>
      </w:r>
    </w:p>
    <w:p w14:paraId="05BD322D" w14:textId="24F9E06C" w:rsidR="00140D77" w:rsidRPr="0045205A" w:rsidRDefault="0045205A" w:rsidP="0045205A">
      <w:pPr>
        <w:pStyle w:val="paragraph"/>
        <w:spacing w:before="0" w:beforeAutospacing="0" w:after="0" w:afterAutospacing="0"/>
        <w:jc w:val="both"/>
        <w:textAlignment w:val="baseline"/>
        <w:rPr>
          <w:spacing w:val="-2"/>
          <w:szCs w:val="20"/>
          <w:lang w:val="en-US" w:eastAsia="en-US"/>
        </w:rPr>
      </w:pPr>
      <w:r w:rsidRPr="0045205A">
        <w:rPr>
          <w:spacing w:val="-2"/>
          <w:szCs w:val="20"/>
          <w:lang w:val="en-US" w:eastAsia="en-US"/>
        </w:rPr>
        <w:t>For the purposes of these ToRs, P2G/B2G payments include payments for public services (e.g., duties and fees), mandatory payments (e.g., fines and taxes), as well as recurring payments for services provided by state-owned enterprises (e.g., utility bills). Payments shall include fund transfers initiated in cash or cashless form, independent of the interface.</w:t>
      </w:r>
    </w:p>
    <w:p w14:paraId="70778006" w14:textId="77777777" w:rsidR="00E96D45" w:rsidRPr="000536E5" w:rsidRDefault="00E96D45" w:rsidP="00E96D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 w:themeColor="text1"/>
          <w:lang w:val="en-US"/>
        </w:rPr>
      </w:pPr>
    </w:p>
    <w:p w14:paraId="7190B605" w14:textId="77777777" w:rsidR="0045205A" w:rsidRPr="0045205A" w:rsidRDefault="0045205A" w:rsidP="0045205A">
      <w:pPr>
        <w:spacing w:after="120" w:line="276" w:lineRule="auto"/>
        <w:jc w:val="both"/>
        <w:rPr>
          <w:rFonts w:ascii="Times New Roman" w:hAnsi="Times New Roman"/>
          <w:spacing w:val="-2"/>
          <w:sz w:val="24"/>
        </w:rPr>
      </w:pPr>
      <w:r w:rsidRPr="0045205A">
        <w:rPr>
          <w:rFonts w:ascii="Times New Roman" w:hAnsi="Times New Roman"/>
          <w:spacing w:val="-2"/>
          <w:sz w:val="24"/>
        </w:rPr>
        <w:t>The assignment includes the following tasks:</w:t>
      </w:r>
    </w:p>
    <w:p w14:paraId="57A3D0C1" w14:textId="77777777" w:rsidR="0045205A" w:rsidRPr="00104E04" w:rsidRDefault="0045205A" w:rsidP="0045205A">
      <w:pPr>
        <w:pStyle w:val="af9"/>
        <w:numPr>
          <w:ilvl w:val="0"/>
          <w:numId w:val="30"/>
        </w:numPr>
        <w:spacing w:after="120" w:line="276" w:lineRule="auto"/>
        <w:ind w:left="1260" w:hanging="911"/>
        <w:contextualSpacing w:val="0"/>
        <w:jc w:val="both"/>
      </w:pPr>
      <w:r w:rsidRPr="00104E04">
        <w:t>Assessment of the ecosystem of P2G</w:t>
      </w:r>
      <w:r>
        <w:t>/B2G</w:t>
      </w:r>
      <w:r w:rsidRPr="00104E04">
        <w:t xml:space="preserve"> payments </w:t>
      </w:r>
      <w:r>
        <w:t>in</w:t>
      </w:r>
      <w:r w:rsidRPr="00104E04">
        <w:t xml:space="preserve"> Tajikistan and </w:t>
      </w:r>
      <w:r>
        <w:t>a</w:t>
      </w:r>
      <w:r w:rsidRPr="00104E04">
        <w:t>nalysis of the entities involved in collection of P2G</w:t>
      </w:r>
      <w:r>
        <w:t>/B2G</w:t>
      </w:r>
      <w:r w:rsidRPr="00104E04">
        <w:t xml:space="preserve"> payments, including but not limited to:</w:t>
      </w:r>
    </w:p>
    <w:p w14:paraId="428C6E87" w14:textId="77777777" w:rsidR="0045205A" w:rsidRDefault="0045205A" w:rsidP="0045205A">
      <w:pPr>
        <w:pStyle w:val="af9"/>
        <w:numPr>
          <w:ilvl w:val="1"/>
          <w:numId w:val="29"/>
        </w:numPr>
        <w:spacing w:after="120" w:line="276" w:lineRule="auto"/>
        <w:ind w:left="1620"/>
        <w:contextualSpacing w:val="0"/>
        <w:jc w:val="both"/>
      </w:pPr>
      <w:r>
        <w:t>State agencies (as recipients of the P2G/B2G payments and facilitators – such as the Ministry of Finance, Ministry of Justice, Ministry of Economic Development and Trade, etc.)</w:t>
      </w:r>
    </w:p>
    <w:p w14:paraId="207918E5" w14:textId="77777777" w:rsidR="0045205A" w:rsidRDefault="0045205A" w:rsidP="0045205A">
      <w:pPr>
        <w:pStyle w:val="af9"/>
        <w:numPr>
          <w:ilvl w:val="1"/>
          <w:numId w:val="29"/>
        </w:numPr>
        <w:spacing w:after="120" w:line="276" w:lineRule="auto"/>
        <w:ind w:left="1620"/>
        <w:contextualSpacing w:val="0"/>
        <w:jc w:val="both"/>
      </w:pPr>
      <w:r>
        <w:t>Financial institutions</w:t>
      </w:r>
    </w:p>
    <w:p w14:paraId="60BCD996" w14:textId="77777777" w:rsidR="0045205A" w:rsidRDefault="0045205A" w:rsidP="0045205A">
      <w:pPr>
        <w:pStyle w:val="af9"/>
        <w:numPr>
          <w:ilvl w:val="1"/>
          <w:numId w:val="29"/>
        </w:numPr>
        <w:spacing w:after="120" w:line="276" w:lineRule="auto"/>
        <w:ind w:left="1620"/>
        <w:contextualSpacing w:val="0"/>
        <w:jc w:val="both"/>
      </w:pPr>
      <w:r>
        <w:t>Payment services providers</w:t>
      </w:r>
    </w:p>
    <w:p w14:paraId="47F44BDF" w14:textId="77777777" w:rsidR="0045205A" w:rsidRDefault="0045205A" w:rsidP="0045205A">
      <w:pPr>
        <w:pStyle w:val="af9"/>
        <w:numPr>
          <w:ilvl w:val="1"/>
          <w:numId w:val="29"/>
        </w:numPr>
        <w:spacing w:after="120" w:line="276" w:lineRule="auto"/>
        <w:ind w:left="1620"/>
        <w:contextualSpacing w:val="0"/>
        <w:jc w:val="both"/>
      </w:pPr>
      <w:r>
        <w:t>State-owned enterprises (e.g., utility providers)</w:t>
      </w:r>
    </w:p>
    <w:p w14:paraId="020F97F0" w14:textId="77777777" w:rsidR="0045205A" w:rsidRDefault="0045205A" w:rsidP="0045205A">
      <w:pPr>
        <w:pStyle w:val="af9"/>
        <w:numPr>
          <w:ilvl w:val="1"/>
          <w:numId w:val="29"/>
        </w:numPr>
        <w:spacing w:after="120" w:line="276" w:lineRule="auto"/>
        <w:ind w:left="1620"/>
        <w:contextualSpacing w:val="0"/>
        <w:jc w:val="both"/>
      </w:pPr>
      <w:r>
        <w:lastRenderedPageBreak/>
        <w:t>Other entities involved in collection of P2G/B2G payments (e.g., authorities receiving payments for fines, such as Ministry of Interior, Tax Committee, state-owned utility providers etc.)</w:t>
      </w:r>
    </w:p>
    <w:p w14:paraId="2B447136" w14:textId="77777777" w:rsidR="0045205A" w:rsidRPr="00296EA6" w:rsidRDefault="0045205A" w:rsidP="0045205A">
      <w:pPr>
        <w:pStyle w:val="af9"/>
        <w:numPr>
          <w:ilvl w:val="1"/>
          <w:numId w:val="29"/>
        </w:numPr>
        <w:spacing w:after="120" w:line="276" w:lineRule="auto"/>
        <w:ind w:left="1620"/>
        <w:contextualSpacing w:val="0"/>
        <w:jc w:val="both"/>
      </w:pPr>
      <w:r>
        <w:t>End users (e.g., their level of financial literacy, preferred payment mechanisms)</w:t>
      </w:r>
    </w:p>
    <w:p w14:paraId="7BB7DFBC" w14:textId="77777777" w:rsidR="0045205A" w:rsidRDefault="0045205A" w:rsidP="0045205A">
      <w:pPr>
        <w:pStyle w:val="af9"/>
        <w:numPr>
          <w:ilvl w:val="0"/>
          <w:numId w:val="30"/>
        </w:numPr>
        <w:spacing w:after="120" w:line="276" w:lineRule="auto"/>
        <w:ind w:left="1260" w:hanging="911"/>
        <w:contextualSpacing w:val="0"/>
        <w:jc w:val="both"/>
      </w:pPr>
      <w:r>
        <w:t>Analysis of P2G/B2G payments mechanisms in Tajikistan:</w:t>
      </w:r>
    </w:p>
    <w:p w14:paraId="580F2C34" w14:textId="77777777" w:rsidR="0045205A" w:rsidRDefault="0045205A" w:rsidP="0045205A">
      <w:pPr>
        <w:pStyle w:val="af9"/>
        <w:numPr>
          <w:ilvl w:val="0"/>
          <w:numId w:val="31"/>
        </w:numPr>
        <w:spacing w:after="120" w:line="276" w:lineRule="auto"/>
        <w:ind w:left="1620"/>
        <w:contextualSpacing w:val="0"/>
        <w:jc w:val="both"/>
      </w:pPr>
      <w:r>
        <w:t>Overview of the channels used to make P2G/B2G payments (online, offline, ATMs, cash-in kiosks, etc.)</w:t>
      </w:r>
    </w:p>
    <w:p w14:paraId="591F98F0" w14:textId="77777777" w:rsidR="0045205A" w:rsidRDefault="0045205A" w:rsidP="0045205A">
      <w:pPr>
        <w:pStyle w:val="af9"/>
        <w:numPr>
          <w:ilvl w:val="0"/>
          <w:numId w:val="31"/>
        </w:numPr>
        <w:spacing w:after="120" w:line="276" w:lineRule="auto"/>
        <w:ind w:left="1620"/>
        <w:contextualSpacing w:val="0"/>
        <w:jc w:val="both"/>
      </w:pPr>
      <w:r>
        <w:t>Overview of customer fee structure for P2G/B2G payments depending on the payment channel</w:t>
      </w:r>
    </w:p>
    <w:p w14:paraId="2C3B050F" w14:textId="77777777" w:rsidR="0045205A" w:rsidRDefault="0045205A" w:rsidP="0045205A">
      <w:pPr>
        <w:pStyle w:val="af9"/>
        <w:numPr>
          <w:ilvl w:val="0"/>
          <w:numId w:val="31"/>
        </w:numPr>
        <w:spacing w:after="120" w:line="276" w:lineRule="auto"/>
        <w:ind w:left="1620"/>
        <w:contextualSpacing w:val="0"/>
        <w:jc w:val="both"/>
      </w:pPr>
      <w:r>
        <w:t>Analysis of timeframes of P2G/B2G payments settlement/finality, depending on the channel and modality</w:t>
      </w:r>
    </w:p>
    <w:p w14:paraId="6F3DCA11" w14:textId="77777777" w:rsidR="0045205A" w:rsidRPr="00AA29E2" w:rsidRDefault="0045205A" w:rsidP="0045205A">
      <w:pPr>
        <w:pStyle w:val="af9"/>
        <w:numPr>
          <w:ilvl w:val="0"/>
          <w:numId w:val="31"/>
        </w:numPr>
        <w:spacing w:after="120" w:line="276" w:lineRule="auto"/>
        <w:ind w:left="1620"/>
        <w:contextualSpacing w:val="0"/>
        <w:jc w:val="both"/>
      </w:pPr>
      <w:r>
        <w:t>Analysis of current data flows (electronic and non-electronic) between participants in the P2G/B2G process</w:t>
      </w:r>
    </w:p>
    <w:p w14:paraId="307DE22B" w14:textId="77777777" w:rsidR="0045205A" w:rsidRDefault="0045205A" w:rsidP="0045205A">
      <w:pPr>
        <w:pStyle w:val="af9"/>
        <w:numPr>
          <w:ilvl w:val="0"/>
          <w:numId w:val="30"/>
        </w:numPr>
        <w:spacing w:after="120" w:line="276" w:lineRule="auto"/>
        <w:ind w:left="1260" w:hanging="911"/>
        <w:contextualSpacing w:val="0"/>
        <w:jc w:val="both"/>
      </w:pPr>
      <w:r>
        <w:t>Assessment of financial aspects related to P2G/B2G payments</w:t>
      </w:r>
    </w:p>
    <w:p w14:paraId="685A45FD" w14:textId="77777777" w:rsidR="0045205A" w:rsidRDefault="0045205A" w:rsidP="0045205A">
      <w:pPr>
        <w:pStyle w:val="af9"/>
        <w:numPr>
          <w:ilvl w:val="0"/>
          <w:numId w:val="32"/>
        </w:numPr>
        <w:spacing w:after="120" w:line="276" w:lineRule="auto"/>
        <w:ind w:left="1620"/>
        <w:contextualSpacing w:val="0"/>
        <w:jc w:val="both"/>
      </w:pPr>
      <w:r>
        <w:t>Analysis of the money flows (financial and information), including settlement rules and approaches between the participants of the P2G/B2G ecosystem</w:t>
      </w:r>
    </w:p>
    <w:p w14:paraId="6A3BE7DB" w14:textId="77777777" w:rsidR="0045205A" w:rsidRDefault="0045205A" w:rsidP="0045205A">
      <w:pPr>
        <w:pStyle w:val="af9"/>
        <w:numPr>
          <w:ilvl w:val="0"/>
          <w:numId w:val="32"/>
        </w:numPr>
        <w:spacing w:after="120" w:line="276" w:lineRule="auto"/>
        <w:ind w:left="1620"/>
        <w:contextualSpacing w:val="0"/>
        <w:jc w:val="both"/>
      </w:pPr>
      <w:r>
        <w:t>Review of the distribution of fees between the participants of the P2G/B2G ecosystem, depending on the modality and type of P2G/B2G payment</w:t>
      </w:r>
    </w:p>
    <w:p w14:paraId="173A9A72" w14:textId="77777777" w:rsidR="0045205A" w:rsidRDefault="0045205A" w:rsidP="0045205A">
      <w:pPr>
        <w:pStyle w:val="af9"/>
        <w:numPr>
          <w:ilvl w:val="0"/>
          <w:numId w:val="30"/>
        </w:numPr>
        <w:spacing w:after="120" w:line="276" w:lineRule="auto"/>
        <w:ind w:left="1260" w:hanging="911"/>
        <w:contextualSpacing w:val="0"/>
        <w:jc w:val="both"/>
      </w:pPr>
      <w:r>
        <w:t>Assessment of technical aspects of P2G/B2G payments:</w:t>
      </w:r>
    </w:p>
    <w:p w14:paraId="3E43D1BE" w14:textId="77777777" w:rsidR="0045205A" w:rsidRDefault="0045205A" w:rsidP="0045205A">
      <w:pPr>
        <w:pStyle w:val="af9"/>
        <w:numPr>
          <w:ilvl w:val="0"/>
          <w:numId w:val="33"/>
        </w:numPr>
        <w:spacing w:after="120" w:line="276" w:lineRule="auto"/>
        <w:ind w:left="1620"/>
        <w:contextualSpacing w:val="0"/>
        <w:jc w:val="both"/>
      </w:pPr>
      <w:r>
        <w:t>Analysis of financial settlement of P2G/B2G payments within P2G/B2G ecosystem</w:t>
      </w:r>
    </w:p>
    <w:p w14:paraId="4AD2470E" w14:textId="77777777" w:rsidR="0045205A" w:rsidRDefault="0045205A" w:rsidP="0045205A">
      <w:pPr>
        <w:pStyle w:val="af9"/>
        <w:numPr>
          <w:ilvl w:val="0"/>
          <w:numId w:val="33"/>
        </w:numPr>
        <w:spacing w:after="120" w:line="276" w:lineRule="auto"/>
        <w:ind w:left="1620"/>
        <w:contextualSpacing w:val="0"/>
        <w:jc w:val="both"/>
      </w:pPr>
      <w:r>
        <w:t>Analysis of the electronic data flows within P2G/B2G payments ecosystem, in particular identification of the necessary information for successful processing of P2G/B2G transactions and streamlining service delivery (e.g., eliminating the need for people to show/submit proof of payment)</w:t>
      </w:r>
    </w:p>
    <w:p w14:paraId="7FFCC68A" w14:textId="77777777" w:rsidR="0045205A" w:rsidRDefault="0045205A" w:rsidP="0045205A">
      <w:pPr>
        <w:pStyle w:val="af9"/>
        <w:numPr>
          <w:ilvl w:val="0"/>
          <w:numId w:val="33"/>
        </w:numPr>
        <w:spacing w:after="120" w:line="276" w:lineRule="auto"/>
        <w:ind w:left="1620"/>
        <w:contextualSpacing w:val="0"/>
        <w:jc w:val="both"/>
      </w:pPr>
      <w:r>
        <w:t>Overview of the</w:t>
      </w:r>
      <w:r w:rsidRPr="00296EA6">
        <w:t xml:space="preserve"> </w:t>
      </w:r>
      <w:r>
        <w:t>messaging standards, data exchange protocol(s) used by the P2G/B2G payment recipients, connection channels (VPN, GWAN, internet) and security (password, PKI)</w:t>
      </w:r>
    </w:p>
    <w:p w14:paraId="1F598FE6" w14:textId="77777777" w:rsidR="0045205A" w:rsidRDefault="0045205A" w:rsidP="0045205A">
      <w:pPr>
        <w:pStyle w:val="af9"/>
        <w:numPr>
          <w:ilvl w:val="0"/>
          <w:numId w:val="33"/>
        </w:numPr>
        <w:spacing w:after="120" w:line="276" w:lineRule="auto"/>
        <w:ind w:left="1620"/>
        <w:contextualSpacing w:val="0"/>
        <w:jc w:val="both"/>
      </w:pPr>
      <w:r>
        <w:t>Overview of the documents that can be used as a confirmation of a P2G/B2G payment</w:t>
      </w:r>
    </w:p>
    <w:p w14:paraId="49F23675" w14:textId="77777777" w:rsidR="0045205A" w:rsidRDefault="0045205A" w:rsidP="0045205A">
      <w:pPr>
        <w:pStyle w:val="af9"/>
        <w:numPr>
          <w:ilvl w:val="0"/>
          <w:numId w:val="33"/>
        </w:numPr>
        <w:spacing w:after="120" w:line="276" w:lineRule="auto"/>
        <w:ind w:left="1620"/>
        <w:contextualSpacing w:val="0"/>
        <w:jc w:val="both"/>
      </w:pPr>
      <w:r>
        <w:lastRenderedPageBreak/>
        <w:t>Analysis of the procedures for error correction and reversal of erroneous transactions</w:t>
      </w:r>
    </w:p>
    <w:p w14:paraId="6C20006A" w14:textId="77777777" w:rsidR="0045205A" w:rsidRDefault="0045205A" w:rsidP="0045205A">
      <w:pPr>
        <w:pStyle w:val="af9"/>
        <w:numPr>
          <w:ilvl w:val="0"/>
          <w:numId w:val="33"/>
        </w:numPr>
        <w:spacing w:after="120" w:line="276" w:lineRule="auto"/>
        <w:ind w:left="1620"/>
        <w:contextualSpacing w:val="0"/>
        <w:jc w:val="both"/>
      </w:pPr>
      <w:r>
        <w:t>Overview of dispute resolution mechanisms (such as the refund process in case, e.g., the service has not been provided or the wrong amount has been paid)</w:t>
      </w:r>
    </w:p>
    <w:p w14:paraId="22BCE183" w14:textId="77777777" w:rsidR="0045205A" w:rsidRDefault="0045205A" w:rsidP="0045205A">
      <w:pPr>
        <w:pStyle w:val="af9"/>
        <w:numPr>
          <w:ilvl w:val="0"/>
          <w:numId w:val="30"/>
        </w:numPr>
        <w:spacing w:after="120" w:line="276" w:lineRule="auto"/>
        <w:ind w:left="1260" w:hanging="911"/>
        <w:contextualSpacing w:val="0"/>
        <w:jc w:val="both"/>
      </w:pPr>
      <w:r>
        <w:t>Legal analysis of P2G/B2G payments:</w:t>
      </w:r>
    </w:p>
    <w:p w14:paraId="432433EF" w14:textId="77777777" w:rsidR="0045205A" w:rsidRDefault="0045205A" w:rsidP="0045205A">
      <w:pPr>
        <w:pStyle w:val="af9"/>
        <w:numPr>
          <w:ilvl w:val="0"/>
          <w:numId w:val="34"/>
        </w:numPr>
        <w:spacing w:after="120" w:line="276" w:lineRule="auto"/>
        <w:ind w:left="1620"/>
        <w:contextualSpacing w:val="0"/>
        <w:jc w:val="both"/>
      </w:pPr>
      <w:r>
        <w:t>Analysis of the legal and regulatory provisions governing the collection of P2G/B2G payments, including state-level strategies / policies, laws and decrees that may affect collection of P2G/B2G payments</w:t>
      </w:r>
    </w:p>
    <w:p w14:paraId="5EE92D64" w14:textId="77777777" w:rsidR="0045205A" w:rsidRDefault="0045205A" w:rsidP="0045205A">
      <w:pPr>
        <w:pStyle w:val="af9"/>
        <w:numPr>
          <w:ilvl w:val="0"/>
          <w:numId w:val="34"/>
        </w:numPr>
        <w:spacing w:after="120" w:line="276" w:lineRule="auto"/>
        <w:ind w:left="1620"/>
        <w:contextualSpacing w:val="0"/>
        <w:jc w:val="both"/>
      </w:pPr>
      <w:r>
        <w:t>Legal obligations of the P2G/B2G payments recipients related to the collection of P2G/B2G payments</w:t>
      </w:r>
    </w:p>
    <w:p w14:paraId="327F3FCD" w14:textId="77777777" w:rsidR="0045205A" w:rsidRDefault="0045205A" w:rsidP="0045205A">
      <w:pPr>
        <w:pStyle w:val="af9"/>
        <w:numPr>
          <w:ilvl w:val="0"/>
          <w:numId w:val="34"/>
        </w:numPr>
        <w:spacing w:after="120" w:line="276" w:lineRule="auto"/>
        <w:ind w:left="1620"/>
        <w:contextualSpacing w:val="0"/>
        <w:jc w:val="both"/>
      </w:pPr>
      <w:r>
        <w:t xml:space="preserve">Overview of the legal agreements between the participants of the P2G/B2G ecosystem participants, including qualification of the fund transfers vis-à-vis the fund transfers modalities as stipulated by the Law on Payment Services and Payment Systems </w:t>
      </w:r>
    </w:p>
    <w:p w14:paraId="56BF7995" w14:textId="77777777" w:rsidR="0045205A" w:rsidRDefault="0045205A" w:rsidP="0045205A">
      <w:pPr>
        <w:pStyle w:val="af9"/>
        <w:numPr>
          <w:ilvl w:val="0"/>
          <w:numId w:val="30"/>
        </w:numPr>
        <w:spacing w:after="120" w:line="276" w:lineRule="auto"/>
        <w:ind w:left="1260" w:hanging="911"/>
        <w:contextualSpacing w:val="0"/>
        <w:jc w:val="both"/>
      </w:pPr>
      <w:r>
        <w:t>A</w:t>
      </w:r>
      <w:r w:rsidRPr="00296EA6">
        <w:t>ssess</w:t>
      </w:r>
      <w:r>
        <w:t xml:space="preserve">ment of the feasibility of the deployment of a </w:t>
      </w:r>
      <w:r w:rsidRPr="00834B18">
        <w:t xml:space="preserve">modular </w:t>
      </w:r>
      <w:r>
        <w:t xml:space="preserve">P2G/G2P </w:t>
      </w:r>
      <w:r w:rsidRPr="00834B18">
        <w:t xml:space="preserve">system </w:t>
      </w:r>
      <w:r>
        <w:t xml:space="preserve">(similar to MPay deployed in Moldova or other pertinent solutions elsewhere) </w:t>
      </w:r>
      <w:r w:rsidRPr="00834B18">
        <w:t>in Tajikistan</w:t>
      </w:r>
      <w:r>
        <w:t>, in particular:</w:t>
      </w:r>
    </w:p>
    <w:p w14:paraId="0AA8285E" w14:textId="77777777" w:rsidR="0045205A" w:rsidRDefault="0045205A" w:rsidP="0045205A">
      <w:pPr>
        <w:pStyle w:val="af9"/>
        <w:numPr>
          <w:ilvl w:val="0"/>
          <w:numId w:val="36"/>
        </w:numPr>
        <w:spacing w:after="120" w:line="276" w:lineRule="auto"/>
        <w:ind w:left="1620"/>
        <w:contextualSpacing w:val="0"/>
        <w:jc w:val="both"/>
      </w:pPr>
      <w:r>
        <w:t>Identification of modules (functionality) relevant for Tajikistan to ensure the efficiency of the system</w:t>
      </w:r>
    </w:p>
    <w:p w14:paraId="70214C74" w14:textId="77777777" w:rsidR="0045205A" w:rsidRDefault="0045205A" w:rsidP="0045205A">
      <w:pPr>
        <w:pStyle w:val="af9"/>
        <w:numPr>
          <w:ilvl w:val="0"/>
          <w:numId w:val="36"/>
        </w:numPr>
        <w:spacing w:after="120" w:line="276" w:lineRule="auto"/>
        <w:ind w:left="1620"/>
        <w:contextualSpacing w:val="0"/>
        <w:jc w:val="both"/>
      </w:pPr>
      <w:r>
        <w:t>Assessment of a possibility to ensure interoperability of the current infrastructure (or its part) with the proposed modular system</w:t>
      </w:r>
    </w:p>
    <w:p w14:paraId="487EE1B8" w14:textId="77777777" w:rsidR="0045205A" w:rsidRDefault="0045205A" w:rsidP="0045205A">
      <w:pPr>
        <w:pStyle w:val="af9"/>
        <w:numPr>
          <w:ilvl w:val="0"/>
          <w:numId w:val="36"/>
        </w:numPr>
        <w:spacing w:after="120" w:line="276" w:lineRule="auto"/>
        <w:ind w:left="1620"/>
        <w:contextualSpacing w:val="0"/>
        <w:jc w:val="both"/>
      </w:pPr>
      <w:r>
        <w:t>High-level overview of the scope of technical integration efforts that will be required by the financial institutions to use the new system (considering the software/hardware currently used)</w:t>
      </w:r>
    </w:p>
    <w:p w14:paraId="46A6391E" w14:textId="77777777" w:rsidR="0045205A" w:rsidRDefault="0045205A" w:rsidP="0045205A">
      <w:pPr>
        <w:pStyle w:val="af9"/>
        <w:numPr>
          <w:ilvl w:val="0"/>
          <w:numId w:val="36"/>
        </w:numPr>
        <w:spacing w:after="120" w:line="276" w:lineRule="auto"/>
        <w:ind w:left="1620"/>
        <w:contextualSpacing w:val="0"/>
        <w:jc w:val="both"/>
      </w:pPr>
      <w:r>
        <w:t>Assessment of the technical capacity of relevant public agencies (providers of state services) to integrate with the new system</w:t>
      </w:r>
    </w:p>
    <w:p w14:paraId="71EA159A" w14:textId="77777777" w:rsidR="0045205A" w:rsidRDefault="0045205A" w:rsidP="0045205A">
      <w:pPr>
        <w:pStyle w:val="af9"/>
        <w:numPr>
          <w:ilvl w:val="0"/>
          <w:numId w:val="36"/>
        </w:numPr>
        <w:spacing w:after="120" w:line="276" w:lineRule="auto"/>
        <w:ind w:left="1620"/>
        <w:contextualSpacing w:val="0"/>
        <w:jc w:val="both"/>
      </w:pPr>
      <w:r>
        <w:t>Recommendations on minimum technical parameters/requirements of the proposed modular system</w:t>
      </w:r>
    </w:p>
    <w:p w14:paraId="3C4BAFC1" w14:textId="77777777" w:rsidR="0045205A" w:rsidRDefault="0045205A" w:rsidP="0045205A">
      <w:pPr>
        <w:pStyle w:val="af9"/>
        <w:numPr>
          <w:ilvl w:val="0"/>
          <w:numId w:val="36"/>
        </w:numPr>
        <w:spacing w:after="120" w:line="276" w:lineRule="auto"/>
        <w:ind w:left="1620"/>
        <w:contextualSpacing w:val="0"/>
        <w:jc w:val="both"/>
      </w:pPr>
      <w:r>
        <w:t>Recommendations on the governance model for the proposed system</w:t>
      </w:r>
    </w:p>
    <w:p w14:paraId="3EA24DDD" w14:textId="77777777" w:rsidR="0045205A" w:rsidRDefault="0045205A" w:rsidP="0045205A">
      <w:pPr>
        <w:pStyle w:val="af9"/>
        <w:numPr>
          <w:ilvl w:val="0"/>
          <w:numId w:val="36"/>
        </w:numPr>
        <w:spacing w:after="120" w:line="276" w:lineRule="auto"/>
        <w:ind w:left="1620"/>
        <w:contextualSpacing w:val="0"/>
        <w:jc w:val="both"/>
      </w:pPr>
      <w:r>
        <w:t>Recommendations on the pricing structure in the proposed system</w:t>
      </w:r>
    </w:p>
    <w:p w14:paraId="7391ED73" w14:textId="77777777" w:rsidR="0045205A" w:rsidRDefault="0045205A" w:rsidP="0045205A">
      <w:pPr>
        <w:pStyle w:val="af9"/>
        <w:numPr>
          <w:ilvl w:val="0"/>
          <w:numId w:val="30"/>
        </w:numPr>
        <w:spacing w:after="120" w:line="276" w:lineRule="auto"/>
        <w:ind w:left="1260" w:hanging="911"/>
        <w:contextualSpacing w:val="0"/>
        <w:jc w:val="both"/>
      </w:pPr>
      <w:r>
        <w:t>Development of recommendations related to the improvement of the P2G/B2G</w:t>
      </w:r>
      <w:r w:rsidDel="00834B18">
        <w:t xml:space="preserve"> </w:t>
      </w:r>
      <w:r>
        <w:t>collection practices in Tajikistan; in particular, related to:</w:t>
      </w:r>
    </w:p>
    <w:p w14:paraId="404F50A2" w14:textId="77777777" w:rsidR="0045205A" w:rsidRDefault="0045205A" w:rsidP="0045205A">
      <w:pPr>
        <w:pStyle w:val="af9"/>
        <w:numPr>
          <w:ilvl w:val="0"/>
          <w:numId w:val="35"/>
        </w:numPr>
        <w:spacing w:after="120" w:line="276" w:lineRule="auto"/>
        <w:ind w:left="1620"/>
        <w:contextualSpacing w:val="0"/>
        <w:jc w:val="both"/>
      </w:pPr>
      <w:r>
        <w:t>Technical gaps that prevent collection of P2G/B2G</w:t>
      </w:r>
      <w:r w:rsidDel="00834B18">
        <w:t xml:space="preserve"> </w:t>
      </w:r>
      <w:r>
        <w:t>payments in cashless form</w:t>
      </w:r>
    </w:p>
    <w:p w14:paraId="3DD53A6F" w14:textId="77777777" w:rsidR="0045205A" w:rsidRDefault="0045205A" w:rsidP="0045205A">
      <w:pPr>
        <w:pStyle w:val="af9"/>
        <w:numPr>
          <w:ilvl w:val="0"/>
          <w:numId w:val="35"/>
        </w:numPr>
        <w:spacing w:after="120" w:line="276" w:lineRule="auto"/>
        <w:ind w:left="1620"/>
        <w:contextualSpacing w:val="0"/>
        <w:jc w:val="both"/>
      </w:pPr>
      <w:r>
        <w:lastRenderedPageBreak/>
        <w:t>Legal gaps that prevent collection of P2G/B2G</w:t>
      </w:r>
      <w:r w:rsidDel="00834B18">
        <w:t xml:space="preserve"> </w:t>
      </w:r>
      <w:r>
        <w:t>payments through different financial institutions/payment services providers</w:t>
      </w:r>
    </w:p>
    <w:p w14:paraId="382F7729" w14:textId="77777777" w:rsidR="0045205A" w:rsidRPr="00296EA6" w:rsidRDefault="0045205A" w:rsidP="0045205A">
      <w:pPr>
        <w:pStyle w:val="af9"/>
        <w:numPr>
          <w:ilvl w:val="0"/>
          <w:numId w:val="35"/>
        </w:numPr>
        <w:spacing w:after="120" w:line="276" w:lineRule="auto"/>
        <w:ind w:left="1620"/>
        <w:contextualSpacing w:val="0"/>
        <w:jc w:val="both"/>
      </w:pPr>
      <w:r>
        <w:t>Initiatives that might create additional financial incentives to the P2G/B2G ecosystem participants to scale up adoption of P2G/B2G</w:t>
      </w:r>
      <w:r w:rsidDel="00834B18">
        <w:t xml:space="preserve"> </w:t>
      </w:r>
      <w:r>
        <w:t>payments in cashless form, in particular the end user adoption</w:t>
      </w:r>
    </w:p>
    <w:p w14:paraId="3D299589" w14:textId="791AD55A" w:rsidR="00BF7B8E" w:rsidRPr="0045205A" w:rsidRDefault="0045205A" w:rsidP="0045205A">
      <w:pPr>
        <w:pStyle w:val="af9"/>
        <w:numPr>
          <w:ilvl w:val="0"/>
          <w:numId w:val="30"/>
        </w:numPr>
        <w:spacing w:after="120" w:line="276" w:lineRule="auto"/>
        <w:ind w:left="1260" w:hanging="911"/>
        <w:contextualSpacing w:val="0"/>
        <w:jc w:val="both"/>
      </w:pPr>
      <w:r w:rsidRPr="00C9064E">
        <w:t>Based on the results of the feasibility assessment</w:t>
      </w:r>
      <w:r>
        <w:t xml:space="preserve"> under Task</w:t>
      </w:r>
      <w:r w:rsidRPr="00296EA6">
        <w:t xml:space="preserve"> </w:t>
      </w:r>
      <w:r>
        <w:t>6 and the recommendations under Task 7</w:t>
      </w:r>
      <w:r w:rsidRPr="00296EA6">
        <w:t xml:space="preserve">, </w:t>
      </w:r>
      <w:r>
        <w:t>develop</w:t>
      </w:r>
      <w:r w:rsidRPr="00C9064E">
        <w:t xml:space="preserve"> the functional and technical requirements </w:t>
      </w:r>
      <w:r>
        <w:t>(</w:t>
      </w:r>
      <w:r w:rsidRPr="00C9064E">
        <w:t>technical specifications</w:t>
      </w:r>
      <w:r>
        <w:t>)</w:t>
      </w:r>
      <w:r w:rsidRPr="00C9064E">
        <w:t xml:space="preserve"> for </w:t>
      </w:r>
      <w:r w:rsidRPr="00296EA6">
        <w:t xml:space="preserve">a </w:t>
      </w:r>
      <w:r w:rsidRPr="00C9064E">
        <w:t xml:space="preserve">payment </w:t>
      </w:r>
      <w:r>
        <w:t>gateway</w:t>
      </w:r>
      <w:r w:rsidRPr="00C9064E">
        <w:t xml:space="preserve"> for P2G/B2G and, potentially, G2P/G2B payments</w:t>
      </w:r>
      <w:r>
        <w:t xml:space="preserve"> in Tajikistan</w:t>
      </w:r>
      <w:r w:rsidRPr="00C9064E">
        <w:t>.</w:t>
      </w:r>
    </w:p>
    <w:p w14:paraId="511BB073" w14:textId="592128E9" w:rsidR="00D12616" w:rsidRPr="000536E5" w:rsidRDefault="00220153" w:rsidP="00825B5C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0536E5">
        <w:rPr>
          <w:rFonts w:ascii="Times New Roman" w:hAnsi="Times New Roman"/>
          <w:sz w:val="24"/>
          <w:szCs w:val="24"/>
        </w:rPr>
        <w:t xml:space="preserve">The accomplishment of assignment should approximately begin in </w:t>
      </w:r>
      <w:r w:rsidR="0045205A">
        <w:rPr>
          <w:rFonts w:ascii="Times New Roman" w:hAnsi="Times New Roman"/>
          <w:sz w:val="24"/>
          <w:szCs w:val="24"/>
        </w:rPr>
        <w:t>March-April</w:t>
      </w:r>
      <w:r w:rsidRPr="000536E5">
        <w:rPr>
          <w:rFonts w:ascii="Times New Roman" w:hAnsi="Times New Roman"/>
          <w:sz w:val="24"/>
          <w:szCs w:val="24"/>
        </w:rPr>
        <w:t xml:space="preserve"> 202</w:t>
      </w:r>
      <w:r w:rsidR="00D55F6B">
        <w:rPr>
          <w:rFonts w:ascii="Times New Roman" w:hAnsi="Times New Roman"/>
          <w:sz w:val="24"/>
          <w:szCs w:val="24"/>
        </w:rPr>
        <w:t>4</w:t>
      </w:r>
      <w:r w:rsidR="0072326D" w:rsidRPr="000536E5">
        <w:rPr>
          <w:rFonts w:ascii="Times New Roman" w:hAnsi="Times New Roman"/>
          <w:sz w:val="24"/>
          <w:szCs w:val="24"/>
        </w:rPr>
        <w:t xml:space="preserve">. The Consultant will complete the assignment in full within </w:t>
      </w:r>
      <w:r w:rsidR="006D412D">
        <w:rPr>
          <w:rFonts w:ascii="Times New Roman" w:hAnsi="Times New Roman"/>
          <w:sz w:val="24"/>
          <w:szCs w:val="24"/>
        </w:rPr>
        <w:t>6</w:t>
      </w:r>
      <w:r w:rsidR="0072326D" w:rsidRPr="000536E5">
        <w:rPr>
          <w:rFonts w:ascii="Times New Roman" w:hAnsi="Times New Roman"/>
          <w:sz w:val="24"/>
          <w:szCs w:val="24"/>
        </w:rPr>
        <w:t xml:space="preserve"> months</w:t>
      </w:r>
      <w:r w:rsidRPr="000536E5">
        <w:rPr>
          <w:rFonts w:ascii="Times New Roman" w:hAnsi="Times New Roman"/>
          <w:sz w:val="24"/>
          <w:szCs w:val="24"/>
        </w:rPr>
        <w:t>.</w:t>
      </w:r>
    </w:p>
    <w:p w14:paraId="2EA3B0F6" w14:textId="77777777" w:rsidR="00220153" w:rsidRPr="000536E5" w:rsidRDefault="00220153" w:rsidP="00815A7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89524A8" w14:textId="0CBC4B5C" w:rsidR="00825B5C" w:rsidRPr="000536E5" w:rsidRDefault="00825B5C" w:rsidP="00815A7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0536E5">
        <w:rPr>
          <w:rFonts w:ascii="Times New Roman" w:hAnsi="Times New Roman"/>
          <w:spacing w:val="-2"/>
          <w:sz w:val="24"/>
          <w:szCs w:val="24"/>
        </w:rPr>
        <w:t>The detailed Terms of Reference (TOR) for the assignment</w:t>
      </w:r>
      <w:r w:rsidR="00232332" w:rsidRPr="000536E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62F6A" w:rsidRPr="000536E5">
        <w:rPr>
          <w:rFonts w:ascii="Times New Roman" w:hAnsi="Times New Roman"/>
          <w:spacing w:val="-2"/>
          <w:sz w:val="24"/>
          <w:szCs w:val="24"/>
        </w:rPr>
        <w:t>can be obtained at the address given below</w:t>
      </w:r>
      <w:r w:rsidRPr="000536E5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14:paraId="1A9792BE" w14:textId="77777777" w:rsidR="00815A78" w:rsidRPr="000536E5" w:rsidRDefault="00815A78" w:rsidP="00815A7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06A8EC4" w14:textId="17FA9C31" w:rsidR="003F55B5" w:rsidRDefault="00815A78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0536E5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72326D" w:rsidRPr="000536E5">
        <w:rPr>
          <w:rFonts w:ascii="Times New Roman" w:hAnsi="Times New Roman"/>
          <w:spacing w:val="-2"/>
          <w:sz w:val="24"/>
          <w:szCs w:val="24"/>
        </w:rPr>
        <w:t xml:space="preserve">Project Implementation Unit under the State Institution "CENTER FOR PROJECT IMPLEMENTATION AND ACCESS TO GREEN FINANCING AND RURAL DEVELOPMENT FINANCE" </w:t>
      </w:r>
      <w:r w:rsidR="001D70EB" w:rsidRPr="000536E5">
        <w:rPr>
          <w:rFonts w:ascii="Times New Roman" w:hAnsi="Times New Roman"/>
          <w:spacing w:val="-2"/>
          <w:sz w:val="24"/>
          <w:szCs w:val="24"/>
        </w:rPr>
        <w:t xml:space="preserve">now </w:t>
      </w:r>
      <w:r w:rsidR="004E7EE3" w:rsidRPr="000536E5">
        <w:rPr>
          <w:rFonts w:ascii="Times New Roman" w:hAnsi="Times New Roman"/>
          <w:spacing w:val="-2"/>
          <w:sz w:val="24"/>
          <w:szCs w:val="24"/>
        </w:rPr>
        <w:t xml:space="preserve">invites eligible </w:t>
      </w:r>
      <w:r w:rsidR="0045205A">
        <w:rPr>
          <w:rFonts w:ascii="Times New Roman" w:hAnsi="Times New Roman"/>
          <w:spacing w:val="-2"/>
          <w:sz w:val="24"/>
          <w:szCs w:val="24"/>
        </w:rPr>
        <w:t>Individual Consultants</w:t>
      </w:r>
      <w:r w:rsidR="004E7EE3" w:rsidRPr="000536E5">
        <w:rPr>
          <w:rFonts w:ascii="Times New Roman" w:hAnsi="Times New Roman"/>
          <w:spacing w:val="-2"/>
          <w:sz w:val="24"/>
          <w:szCs w:val="24"/>
        </w:rPr>
        <w:t xml:space="preserve"> (“Consultants”) to indicate their interest in providing the Services. Interested Consultants should provide information demonstrating that they have the required qualifications and relevant experience to perform the Services. </w:t>
      </w:r>
    </w:p>
    <w:p w14:paraId="318A543B" w14:textId="77777777" w:rsidR="006D412D" w:rsidRPr="000536E5" w:rsidRDefault="006D412D" w:rsidP="00916E24">
      <w:pPr>
        <w:suppressAutoHyphens/>
        <w:jc w:val="both"/>
        <w:rPr>
          <w:rFonts w:ascii="Times New Roman" w:eastAsia="Calibri" w:hAnsi="Times New Roman"/>
          <w:sz w:val="24"/>
          <w:szCs w:val="24"/>
        </w:rPr>
      </w:pPr>
    </w:p>
    <w:p w14:paraId="72802573" w14:textId="77777777" w:rsidR="0045205A" w:rsidRPr="0045205A" w:rsidRDefault="0045205A" w:rsidP="0045205A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45205A">
        <w:rPr>
          <w:rFonts w:ascii="Times New Roman" w:hAnsi="Times New Roman"/>
          <w:sz w:val="24"/>
          <w:szCs w:val="24"/>
        </w:rPr>
        <w:t>The consultant needs to demonstrate: </w:t>
      </w:r>
    </w:p>
    <w:p w14:paraId="3929A5B6" w14:textId="77777777" w:rsidR="0045205A" w:rsidRPr="00472087" w:rsidRDefault="0045205A" w:rsidP="0045205A">
      <w:pPr>
        <w:pStyle w:val="af9"/>
        <w:numPr>
          <w:ilvl w:val="0"/>
          <w:numId w:val="37"/>
        </w:numPr>
        <w:spacing w:after="120" w:line="276" w:lineRule="auto"/>
        <w:jc w:val="both"/>
        <w:rPr>
          <w:lang w:val="en-GB"/>
        </w:rPr>
      </w:pPr>
      <w:r>
        <w:rPr>
          <w:lang w:val="en-GB"/>
        </w:rPr>
        <w:t>A t</w:t>
      </w:r>
      <w:r w:rsidRPr="00472087">
        <w:rPr>
          <w:lang w:val="en-GB"/>
        </w:rPr>
        <w:t xml:space="preserve">rack record of at least </w:t>
      </w:r>
      <w:r>
        <w:rPr>
          <w:lang w:val="en-GB"/>
        </w:rPr>
        <w:t>10</w:t>
      </w:r>
      <w:r w:rsidRPr="00472087">
        <w:rPr>
          <w:lang w:val="en-GB"/>
        </w:rPr>
        <w:t xml:space="preserve"> </w:t>
      </w:r>
      <w:r>
        <w:rPr>
          <w:lang w:val="en-GB"/>
        </w:rPr>
        <w:t>years of experience in financial and government sectors</w:t>
      </w:r>
      <w:r w:rsidRPr="00472087">
        <w:rPr>
          <w:lang w:val="en-GB"/>
        </w:rPr>
        <w:t xml:space="preserve">, with a focus on </w:t>
      </w:r>
      <w:r>
        <w:rPr>
          <w:lang w:val="en-GB"/>
        </w:rPr>
        <w:t xml:space="preserve">digital payments and </w:t>
      </w:r>
      <w:r w:rsidRPr="00472087">
        <w:rPr>
          <w:lang w:val="en-GB"/>
        </w:rPr>
        <w:t>public service delivery</w:t>
      </w:r>
      <w:r>
        <w:rPr>
          <w:lang w:val="en-GB"/>
        </w:rPr>
        <w:t xml:space="preserve"> </w:t>
      </w:r>
    </w:p>
    <w:p w14:paraId="0DC7178E" w14:textId="77777777" w:rsidR="0045205A" w:rsidRDefault="0045205A" w:rsidP="0045205A">
      <w:pPr>
        <w:pStyle w:val="af9"/>
        <w:numPr>
          <w:ilvl w:val="0"/>
          <w:numId w:val="37"/>
        </w:numPr>
        <w:spacing w:after="120" w:line="276" w:lineRule="auto"/>
        <w:jc w:val="both"/>
        <w:rPr>
          <w:lang w:val="en-GB"/>
        </w:rPr>
      </w:pPr>
      <w:r>
        <w:rPr>
          <w:lang w:val="en-GB"/>
        </w:rPr>
        <w:t>Excellent knowledge of payment systems, including different payment mechanisms, standards, and processes and the associated legal framework</w:t>
      </w:r>
    </w:p>
    <w:p w14:paraId="29DF4D4C" w14:textId="77777777" w:rsidR="0045205A" w:rsidRDefault="0045205A" w:rsidP="0045205A">
      <w:pPr>
        <w:pStyle w:val="af9"/>
        <w:numPr>
          <w:ilvl w:val="0"/>
          <w:numId w:val="37"/>
        </w:numPr>
        <w:spacing w:after="120" w:line="276" w:lineRule="auto"/>
        <w:jc w:val="both"/>
        <w:rPr>
          <w:lang w:val="en-GB"/>
        </w:rPr>
      </w:pPr>
      <w:r>
        <w:rPr>
          <w:lang w:val="en-GB"/>
        </w:rPr>
        <w:t>S</w:t>
      </w:r>
      <w:r w:rsidRPr="00C61858">
        <w:rPr>
          <w:lang w:val="en-GB"/>
        </w:rPr>
        <w:t>trong background in designing and developing payment systems</w:t>
      </w:r>
      <w:r>
        <w:rPr>
          <w:lang w:val="en-GB"/>
        </w:rPr>
        <w:t xml:space="preserve"> (at least 1), including performing assessments and writing technical specifications</w:t>
      </w:r>
    </w:p>
    <w:p w14:paraId="76A5249D" w14:textId="77777777" w:rsidR="0045205A" w:rsidRDefault="0045205A" w:rsidP="0045205A">
      <w:pPr>
        <w:pStyle w:val="af9"/>
        <w:numPr>
          <w:ilvl w:val="0"/>
          <w:numId w:val="37"/>
        </w:numPr>
        <w:spacing w:after="120" w:line="276" w:lineRule="auto"/>
        <w:jc w:val="both"/>
        <w:rPr>
          <w:lang w:val="en-GB"/>
        </w:rPr>
      </w:pPr>
      <w:r w:rsidRPr="00A7260D">
        <w:rPr>
          <w:lang w:val="en-GB"/>
        </w:rPr>
        <w:t xml:space="preserve">Experience in working on payment system matters </w:t>
      </w:r>
      <w:r>
        <w:rPr>
          <w:lang w:val="en-GB"/>
        </w:rPr>
        <w:t xml:space="preserve">at national level </w:t>
      </w:r>
      <w:r w:rsidRPr="00A7260D">
        <w:rPr>
          <w:lang w:val="en-GB"/>
        </w:rPr>
        <w:t>in multiple</w:t>
      </w:r>
      <w:r>
        <w:rPr>
          <w:lang w:val="en-GB"/>
        </w:rPr>
        <w:t xml:space="preserve"> (at least …)</w:t>
      </w:r>
      <w:r w:rsidRPr="00A7260D">
        <w:rPr>
          <w:lang w:val="en-GB"/>
        </w:rPr>
        <w:t xml:space="preserve"> countries</w:t>
      </w:r>
      <w:r>
        <w:rPr>
          <w:lang w:val="en-GB"/>
        </w:rPr>
        <w:t xml:space="preserve"> and knowledge of international good practices.</w:t>
      </w:r>
      <w:r w:rsidRPr="00A7260D">
        <w:rPr>
          <w:lang w:val="en-GB"/>
        </w:rPr>
        <w:t xml:space="preserve"> </w:t>
      </w:r>
    </w:p>
    <w:p w14:paraId="387A8A3B" w14:textId="77777777" w:rsidR="0045205A" w:rsidRDefault="0045205A" w:rsidP="0045205A">
      <w:pPr>
        <w:pStyle w:val="af9"/>
        <w:numPr>
          <w:ilvl w:val="0"/>
          <w:numId w:val="37"/>
        </w:numPr>
        <w:spacing w:after="120" w:line="276" w:lineRule="auto"/>
        <w:jc w:val="both"/>
        <w:rPr>
          <w:lang w:val="en-GB"/>
        </w:rPr>
      </w:pPr>
      <w:r>
        <w:rPr>
          <w:lang w:val="en-GB"/>
        </w:rPr>
        <w:t>Familiarity with digitalization of P2G/B2G and G2P/G2B payments in other developing countries which successfully implemented such payment gateways</w:t>
      </w:r>
    </w:p>
    <w:p w14:paraId="5015C230" w14:textId="77777777" w:rsidR="0045205A" w:rsidRPr="00472087" w:rsidRDefault="0045205A" w:rsidP="0045205A">
      <w:pPr>
        <w:pStyle w:val="af9"/>
        <w:numPr>
          <w:ilvl w:val="0"/>
          <w:numId w:val="37"/>
        </w:numPr>
        <w:spacing w:after="120" w:line="276" w:lineRule="auto"/>
        <w:jc w:val="both"/>
        <w:rPr>
          <w:lang w:val="en-GB"/>
        </w:rPr>
      </w:pPr>
      <w:r>
        <w:rPr>
          <w:rStyle w:val="normaltextrun"/>
          <w:shd w:val="clear" w:color="auto" w:fill="FFFFFF"/>
          <w:lang w:val="en-IN"/>
        </w:rPr>
        <w:t>F</w:t>
      </w:r>
      <w:r w:rsidRPr="00472087">
        <w:rPr>
          <w:rStyle w:val="normaltextrun"/>
          <w:shd w:val="clear" w:color="auto" w:fill="FFFFFF"/>
          <w:lang w:val="en-IN"/>
        </w:rPr>
        <w:t xml:space="preserve">amiliarity with </w:t>
      </w:r>
      <w:r>
        <w:rPr>
          <w:rStyle w:val="normaltextrun"/>
          <w:shd w:val="clear" w:color="auto" w:fill="FFFFFF"/>
          <w:lang w:val="en-IN"/>
        </w:rPr>
        <w:t xml:space="preserve">local or regional </w:t>
      </w:r>
      <w:r w:rsidRPr="00472087">
        <w:rPr>
          <w:rStyle w:val="normaltextrun"/>
          <w:shd w:val="clear" w:color="auto" w:fill="FFFFFF"/>
          <w:lang w:val="en-IN"/>
        </w:rPr>
        <w:t xml:space="preserve">context </w:t>
      </w:r>
      <w:r>
        <w:rPr>
          <w:rStyle w:val="normaltextrun"/>
          <w:shd w:val="clear" w:color="auto" w:fill="FFFFFF"/>
          <w:lang w:val="en-IN"/>
        </w:rPr>
        <w:t xml:space="preserve">would be </w:t>
      </w:r>
      <w:r w:rsidRPr="00472087">
        <w:rPr>
          <w:rStyle w:val="normaltextrun"/>
          <w:shd w:val="clear" w:color="auto" w:fill="FFFFFF"/>
          <w:lang w:val="en-IN"/>
        </w:rPr>
        <w:t>an advantage</w:t>
      </w:r>
    </w:p>
    <w:p w14:paraId="6DC79396" w14:textId="48C89936" w:rsidR="0045205A" w:rsidRPr="002D0B18" w:rsidRDefault="0045205A" w:rsidP="0045205A">
      <w:pPr>
        <w:pStyle w:val="af9"/>
        <w:numPr>
          <w:ilvl w:val="0"/>
          <w:numId w:val="37"/>
        </w:numPr>
        <w:spacing w:after="120" w:line="276" w:lineRule="auto"/>
        <w:jc w:val="both"/>
        <w:rPr>
          <w:rStyle w:val="normaltextrun"/>
          <w:lang w:val="en-GB"/>
        </w:rPr>
      </w:pPr>
      <w:r w:rsidRPr="00472087">
        <w:rPr>
          <w:rStyle w:val="normaltextrun"/>
          <w:lang w:val="en-IN"/>
        </w:rPr>
        <w:t xml:space="preserve">Excellent </w:t>
      </w:r>
      <w:r>
        <w:rPr>
          <w:rStyle w:val="normaltextrun"/>
          <w:lang w:val="en-IN"/>
        </w:rPr>
        <w:t xml:space="preserve">command of </w:t>
      </w:r>
      <w:r w:rsidRPr="00472087">
        <w:rPr>
          <w:rStyle w:val="normaltextrun"/>
          <w:lang w:val="en-IN"/>
        </w:rPr>
        <w:t xml:space="preserve">English </w:t>
      </w:r>
      <w:r>
        <w:rPr>
          <w:rStyle w:val="normaltextrun"/>
          <w:lang w:val="en-IN"/>
        </w:rPr>
        <w:t xml:space="preserve">and Russian (both </w:t>
      </w:r>
      <w:r w:rsidRPr="00472087">
        <w:rPr>
          <w:rStyle w:val="normaltextrun"/>
          <w:lang w:val="en-IN"/>
        </w:rPr>
        <w:t>writing and presentation skills</w:t>
      </w:r>
      <w:r>
        <w:rPr>
          <w:rStyle w:val="normaltextrun"/>
          <w:lang w:val="en-IN"/>
        </w:rPr>
        <w:t>).</w:t>
      </w:r>
    </w:p>
    <w:p w14:paraId="279F1053" w14:textId="747E7F63" w:rsidR="005713E4" w:rsidRPr="002D0B18" w:rsidRDefault="002D0B18" w:rsidP="002D0B18">
      <w:pPr>
        <w:pStyle w:val="af9"/>
        <w:numPr>
          <w:ilvl w:val="0"/>
          <w:numId w:val="37"/>
        </w:numPr>
        <w:spacing w:after="120" w:line="276" w:lineRule="auto"/>
        <w:jc w:val="both"/>
        <w:rPr>
          <w:lang w:val="en-GB"/>
        </w:rPr>
      </w:pPr>
      <w:r w:rsidRPr="002D0B18">
        <w:rPr>
          <w:rStyle w:val="normaltextrun"/>
          <w:lang w:val="en-IN"/>
        </w:rPr>
        <w:t>T</w:t>
      </w:r>
      <w:r w:rsidR="0045205A" w:rsidRPr="002D0B18">
        <w:rPr>
          <w:rStyle w:val="normaltextrun"/>
          <w:lang w:val="en-IN"/>
        </w:rPr>
        <w:t>rack record of integrity and honesty in handling public respources and in executing duties.</w:t>
      </w:r>
    </w:p>
    <w:p w14:paraId="21922E9E" w14:textId="0BD0BE56" w:rsidR="00E07E32" w:rsidRPr="000536E5" w:rsidRDefault="001D70EB" w:rsidP="00A105A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0536E5">
        <w:rPr>
          <w:rFonts w:ascii="Times New Roman" w:hAnsi="Times New Roman"/>
          <w:spacing w:val="-2"/>
          <w:sz w:val="24"/>
          <w:szCs w:val="24"/>
        </w:rPr>
        <w:t>The attention of interested C</w:t>
      </w:r>
      <w:r w:rsidR="004E721D" w:rsidRPr="000536E5">
        <w:rPr>
          <w:rFonts w:ascii="Times New Roman" w:hAnsi="Times New Roman"/>
          <w:spacing w:val="-2"/>
          <w:sz w:val="24"/>
          <w:szCs w:val="24"/>
        </w:rPr>
        <w:t xml:space="preserve">onsultants is drawn to </w:t>
      </w:r>
      <w:r w:rsidR="004019F6" w:rsidRPr="000536E5">
        <w:rPr>
          <w:rFonts w:ascii="Times New Roman" w:hAnsi="Times New Roman"/>
          <w:spacing w:val="-2"/>
          <w:sz w:val="24"/>
          <w:szCs w:val="24"/>
        </w:rPr>
        <w:t xml:space="preserve">Section III, </w:t>
      </w:r>
      <w:r w:rsidR="003B0ADD" w:rsidRPr="000536E5">
        <w:rPr>
          <w:rFonts w:ascii="Times New Roman" w:hAnsi="Times New Roman"/>
          <w:spacing w:val="-2"/>
          <w:sz w:val="24"/>
          <w:szCs w:val="24"/>
        </w:rPr>
        <w:t>paragraphs,</w:t>
      </w:r>
      <w:r w:rsidR="005A0276" w:rsidRPr="000536E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F4F57" w:rsidRPr="000536E5">
        <w:rPr>
          <w:rFonts w:ascii="Times New Roman" w:hAnsi="Times New Roman"/>
          <w:spacing w:val="-2"/>
          <w:sz w:val="24"/>
          <w:szCs w:val="24"/>
        </w:rPr>
        <w:t xml:space="preserve">3.14, </w:t>
      </w:r>
      <w:r w:rsidR="005A0276" w:rsidRPr="000536E5">
        <w:rPr>
          <w:rFonts w:ascii="Times New Roman" w:hAnsi="Times New Roman"/>
          <w:spacing w:val="-2"/>
          <w:sz w:val="24"/>
          <w:szCs w:val="24"/>
        </w:rPr>
        <w:t>3.16, and 3.17</w:t>
      </w:r>
      <w:r w:rsidR="004E721D" w:rsidRPr="000536E5">
        <w:rPr>
          <w:rFonts w:ascii="Times New Roman" w:hAnsi="Times New Roman"/>
          <w:spacing w:val="-2"/>
          <w:sz w:val="24"/>
          <w:szCs w:val="24"/>
        </w:rPr>
        <w:t xml:space="preserve"> of the World Bank’s </w:t>
      </w:r>
      <w:r w:rsidR="005A0276" w:rsidRPr="000536E5">
        <w:rPr>
          <w:rFonts w:ascii="Times New Roman" w:hAnsi="Times New Roman"/>
          <w:spacing w:val="-2"/>
          <w:sz w:val="24"/>
          <w:szCs w:val="24"/>
        </w:rPr>
        <w:t xml:space="preserve">“Procurement Regulations for IPF Borrowers” July 2016 </w:t>
      </w:r>
      <w:r w:rsidR="00137802" w:rsidRPr="000536E5">
        <w:rPr>
          <w:rFonts w:ascii="Times New Roman" w:hAnsi="Times New Roman"/>
          <w:spacing w:val="-2"/>
          <w:sz w:val="24"/>
          <w:szCs w:val="24"/>
        </w:rPr>
        <w:t>(“Procurement Regulations”),</w:t>
      </w:r>
      <w:r w:rsidR="004E721D" w:rsidRPr="000536E5">
        <w:rPr>
          <w:rFonts w:ascii="Times New Roman" w:hAnsi="Times New Roman"/>
          <w:spacing w:val="-2"/>
          <w:sz w:val="24"/>
          <w:szCs w:val="24"/>
        </w:rPr>
        <w:t xml:space="preserve"> setting forth the World Bank’s policy on conflict of interest.  </w:t>
      </w:r>
    </w:p>
    <w:p w14:paraId="65214C88" w14:textId="77777777" w:rsidR="00F17486" w:rsidRPr="000536E5" w:rsidRDefault="00F17486" w:rsidP="00A105A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981E52F" w14:textId="783B8E0C" w:rsidR="009830E4" w:rsidRPr="000536E5" w:rsidRDefault="007301D7" w:rsidP="00A105A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0536E5">
        <w:rPr>
          <w:rFonts w:ascii="Times New Roman" w:hAnsi="Times New Roman"/>
          <w:spacing w:val="-2"/>
          <w:sz w:val="24"/>
          <w:szCs w:val="24"/>
        </w:rPr>
        <w:lastRenderedPageBreak/>
        <w:t>A Consultant will be selected in accordance with the Framework Agreement arrangements described in the Procurement Regulations and to be specifically set out in the Request for Proposals.</w:t>
      </w:r>
    </w:p>
    <w:p w14:paraId="17420582" w14:textId="77777777" w:rsidR="00785CA1" w:rsidRPr="000536E5" w:rsidRDefault="00785CA1" w:rsidP="00A105A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ADA0000" w14:textId="05BCE4F2" w:rsidR="009830E4" w:rsidRPr="000536E5" w:rsidRDefault="00916E24" w:rsidP="00A105A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0536E5">
        <w:rPr>
          <w:rFonts w:ascii="Times New Roman" w:hAnsi="Times New Roman"/>
          <w:spacing w:val="-2"/>
          <w:sz w:val="24"/>
          <w:szCs w:val="24"/>
        </w:rPr>
        <w:t>F</w:t>
      </w:r>
      <w:r w:rsidR="009830E4" w:rsidRPr="000536E5">
        <w:rPr>
          <w:rFonts w:ascii="Times New Roman" w:hAnsi="Times New Roman"/>
          <w:spacing w:val="-2"/>
          <w:sz w:val="24"/>
          <w:szCs w:val="24"/>
        </w:rPr>
        <w:t xml:space="preserve">urther information </w:t>
      </w:r>
      <w:r w:rsidRPr="000536E5">
        <w:rPr>
          <w:rFonts w:ascii="Times New Roman" w:hAnsi="Times New Roman"/>
          <w:spacing w:val="-2"/>
          <w:sz w:val="24"/>
          <w:szCs w:val="24"/>
        </w:rPr>
        <w:t xml:space="preserve">can be obtained </w:t>
      </w:r>
      <w:r w:rsidR="009830E4" w:rsidRPr="000536E5">
        <w:rPr>
          <w:rFonts w:ascii="Times New Roman" w:hAnsi="Times New Roman"/>
          <w:spacing w:val="-2"/>
          <w:sz w:val="24"/>
          <w:szCs w:val="24"/>
        </w:rPr>
        <w:t xml:space="preserve">at the address below during office hours </w:t>
      </w:r>
      <w:r w:rsidR="00564088" w:rsidRPr="000536E5">
        <w:rPr>
          <w:rFonts w:ascii="Times New Roman" w:hAnsi="Times New Roman"/>
          <w:spacing w:val="-2"/>
          <w:sz w:val="24"/>
          <w:szCs w:val="24"/>
        </w:rPr>
        <w:t>09:00 – 17:00</w:t>
      </w:r>
      <w:r w:rsidR="009830E4" w:rsidRPr="000536E5">
        <w:rPr>
          <w:rFonts w:ascii="Times New Roman" w:hAnsi="Times New Roman"/>
          <w:spacing w:val="-2"/>
          <w:sz w:val="24"/>
          <w:szCs w:val="24"/>
        </w:rPr>
        <w:t>.</w:t>
      </w:r>
    </w:p>
    <w:p w14:paraId="783EED8B" w14:textId="77777777" w:rsidR="009830E4" w:rsidRPr="000536E5" w:rsidRDefault="009830E4" w:rsidP="00A105A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12BDCC4" w14:textId="1E3ECAB4" w:rsidR="009830E4" w:rsidRDefault="009830E4" w:rsidP="00A105A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>
        <w:rPr>
          <w:rFonts w:ascii="Times New Roman" w:hAnsi="Times New Roman"/>
          <w:spacing w:val="-2"/>
          <w:sz w:val="24"/>
        </w:rPr>
        <w:t xml:space="preserve">in a written form </w:t>
      </w:r>
      <w:r>
        <w:rPr>
          <w:rFonts w:ascii="Times New Roman" w:hAnsi="Times New Roman"/>
          <w:spacing w:val="-2"/>
          <w:sz w:val="24"/>
        </w:rPr>
        <w:t xml:space="preserve">to the </w:t>
      </w:r>
      <w:r w:rsidR="00590A66">
        <w:rPr>
          <w:rFonts w:ascii="Times New Roman" w:hAnsi="Times New Roman"/>
          <w:spacing w:val="-2"/>
          <w:sz w:val="24"/>
        </w:rPr>
        <w:t xml:space="preserve">e-mail’s </w:t>
      </w:r>
      <w:r w:rsidRPr="001D70EB">
        <w:rPr>
          <w:rFonts w:ascii="Times New Roman" w:hAnsi="Times New Roman"/>
          <w:spacing w:val="-2"/>
          <w:sz w:val="24"/>
        </w:rPr>
        <w:t xml:space="preserve">below by </w:t>
      </w:r>
      <w:r w:rsidR="002D0B18">
        <w:rPr>
          <w:rFonts w:ascii="Times New Roman" w:hAnsi="Times New Roman"/>
          <w:spacing w:val="-2"/>
          <w:sz w:val="24"/>
        </w:rPr>
        <w:t>February</w:t>
      </w:r>
      <w:r w:rsidR="00A72F01">
        <w:rPr>
          <w:rFonts w:ascii="Times New Roman" w:hAnsi="Times New Roman"/>
          <w:spacing w:val="-2"/>
          <w:sz w:val="24"/>
        </w:rPr>
        <w:t xml:space="preserve"> </w:t>
      </w:r>
      <w:r w:rsidR="006D412D">
        <w:rPr>
          <w:rFonts w:ascii="Times New Roman" w:hAnsi="Times New Roman"/>
          <w:spacing w:val="-2"/>
          <w:sz w:val="24"/>
        </w:rPr>
        <w:t>8</w:t>
      </w:r>
      <w:r w:rsidR="00564088">
        <w:rPr>
          <w:rFonts w:ascii="Times New Roman" w:hAnsi="Times New Roman"/>
          <w:spacing w:val="-2"/>
          <w:sz w:val="24"/>
        </w:rPr>
        <w:t>, 202</w:t>
      </w:r>
      <w:r w:rsidR="002D0B18">
        <w:rPr>
          <w:rFonts w:ascii="Times New Roman" w:hAnsi="Times New Roman"/>
          <w:spacing w:val="-2"/>
          <w:sz w:val="24"/>
        </w:rPr>
        <w:t>4</w:t>
      </w:r>
      <w:r w:rsidR="008E09E0">
        <w:rPr>
          <w:rFonts w:ascii="Times New Roman" w:hAnsi="Times New Roman"/>
          <w:spacing w:val="-2"/>
          <w:sz w:val="24"/>
        </w:rPr>
        <w:t>, 5:00 p.m. local time</w:t>
      </w:r>
      <w:r w:rsidRPr="001D70EB">
        <w:rPr>
          <w:rFonts w:ascii="Times New Roman" w:hAnsi="Times New Roman"/>
          <w:spacing w:val="-2"/>
          <w:sz w:val="24"/>
        </w:rPr>
        <w:t>.</w:t>
      </w:r>
    </w:p>
    <w:p w14:paraId="2AC11B01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72A454B1" w14:textId="2D0CC497" w:rsidR="00211DE0" w:rsidRPr="00BE6AD0" w:rsidRDefault="00211DE0" w:rsidP="00211DE0">
      <w:pPr>
        <w:tabs>
          <w:tab w:val="left" w:pos="4678"/>
        </w:tabs>
        <w:rPr>
          <w:rFonts w:ascii="Times New Roman" w:hAnsi="Times New Roman"/>
          <w:b/>
          <w:bCs/>
          <w:szCs w:val="22"/>
        </w:rPr>
      </w:pPr>
      <w:r w:rsidRPr="00BE6AD0">
        <w:rPr>
          <w:rFonts w:ascii="Times New Roman" w:hAnsi="Times New Roman"/>
          <w:b/>
          <w:bCs/>
          <w:szCs w:val="22"/>
        </w:rPr>
        <w:t>Attention</w:t>
      </w:r>
      <w:r w:rsidR="00DB57E7">
        <w:rPr>
          <w:rFonts w:ascii="Times New Roman" w:hAnsi="Times New Roman"/>
          <w:b/>
          <w:bCs/>
          <w:szCs w:val="22"/>
        </w:rPr>
        <w:t>:</w:t>
      </w:r>
      <w:r w:rsidRPr="00BE6AD0">
        <w:rPr>
          <w:rFonts w:ascii="Times New Roman" w:hAnsi="Times New Roman"/>
          <w:b/>
          <w:bCs/>
          <w:szCs w:val="22"/>
        </w:rPr>
        <w:t xml:space="preserve"> </w:t>
      </w:r>
      <w:r w:rsidR="00837BCC">
        <w:rPr>
          <w:rFonts w:ascii="Times New Roman" w:hAnsi="Times New Roman"/>
          <w:b/>
          <w:bCs/>
          <w:szCs w:val="22"/>
        </w:rPr>
        <w:t xml:space="preserve">Acting </w:t>
      </w:r>
      <w:r w:rsidR="002D0B18">
        <w:rPr>
          <w:rFonts w:ascii="Times New Roman" w:hAnsi="Times New Roman"/>
          <w:b/>
          <w:bCs/>
          <w:sz w:val="24"/>
          <w:szCs w:val="24"/>
        </w:rPr>
        <w:t xml:space="preserve">Project </w:t>
      </w:r>
      <w:r w:rsidR="00837BCC">
        <w:rPr>
          <w:rFonts w:ascii="Times New Roman" w:hAnsi="Times New Roman"/>
          <w:b/>
          <w:bCs/>
          <w:sz w:val="24"/>
          <w:szCs w:val="24"/>
        </w:rPr>
        <w:t>Director, Mr. Sattorzoda Jamshed</w:t>
      </w:r>
    </w:p>
    <w:p w14:paraId="1E4498E5" w14:textId="7C11FD5C" w:rsidR="00211DE0" w:rsidRPr="00BE6AD0" w:rsidRDefault="00211DE0" w:rsidP="00211DE0">
      <w:pPr>
        <w:suppressAutoHyphens/>
        <w:rPr>
          <w:rFonts w:ascii="Times New Roman" w:hAnsi="Times New Roman"/>
          <w:b/>
          <w:bCs/>
          <w:szCs w:val="22"/>
          <w:lang w:val="de-DE"/>
        </w:rPr>
      </w:pPr>
      <w:r w:rsidRPr="00BE6AD0">
        <w:rPr>
          <w:rFonts w:ascii="Times New Roman" w:hAnsi="Times New Roman"/>
          <w:b/>
          <w:bCs/>
          <w:szCs w:val="22"/>
          <w:lang w:val="de-DE"/>
        </w:rPr>
        <w:t>E-Mail:</w:t>
      </w:r>
      <w:r w:rsidR="00A105A4" w:rsidRPr="00BE6AD0">
        <w:rPr>
          <w:rFonts w:ascii="Times New Roman" w:hAnsi="Times New Roman"/>
          <w:b/>
          <w:bCs/>
          <w:szCs w:val="22"/>
          <w:lang w:val="de-DE"/>
        </w:rPr>
        <w:t xml:space="preserve"> </w:t>
      </w:r>
      <w:r w:rsidR="002D0B18">
        <w:rPr>
          <w:rFonts w:ascii="Arial" w:hAnsi="Arial" w:cs="Arial"/>
          <w:color w:val="222222"/>
          <w:shd w:val="clear" w:color="auto" w:fill="FFFFFF"/>
        </w:rPr>
        <w:t> </w:t>
      </w:r>
      <w:hyperlink r:id="rId8" w:tgtFrame="_blank" w:history="1">
        <w:r w:rsidR="002D0B18" w:rsidRPr="002D0B18">
          <w:rPr>
            <w:rStyle w:val="af"/>
            <w:rFonts w:ascii="Times New Roman" w:hAnsi="Times New Roman"/>
            <w:b/>
            <w:bCs/>
            <w:szCs w:val="22"/>
            <w:lang w:val="de-DE"/>
          </w:rPr>
          <w:t>info@piumof.tj</w:t>
        </w:r>
      </w:hyperlink>
      <w:r w:rsidR="002D0B18" w:rsidRPr="002D0B18">
        <w:rPr>
          <w:rStyle w:val="af"/>
          <w:rFonts w:ascii="Times New Roman" w:hAnsi="Times New Roman"/>
          <w:b/>
          <w:bCs/>
          <w:szCs w:val="22"/>
          <w:lang w:val="de-DE"/>
        </w:rPr>
        <w:t> </w:t>
      </w:r>
    </w:p>
    <w:p w14:paraId="3DF70F6F" w14:textId="0CF6A299" w:rsidR="009830E4" w:rsidRPr="00BE6AD0" w:rsidRDefault="00211DE0" w:rsidP="00211DE0">
      <w:pPr>
        <w:suppressAutoHyphens/>
        <w:rPr>
          <w:rFonts w:ascii="Times New Roman" w:hAnsi="Times New Roman"/>
          <w:spacing w:val="-2"/>
          <w:szCs w:val="22"/>
          <w:lang w:val="de-DE"/>
        </w:rPr>
      </w:pPr>
      <w:r w:rsidRPr="00BE6AD0">
        <w:rPr>
          <w:rFonts w:ascii="Times New Roman" w:hAnsi="Times New Roman"/>
          <w:b/>
          <w:bCs/>
          <w:szCs w:val="22"/>
          <w:lang w:val="de-DE"/>
        </w:rPr>
        <w:t>Cc:</w:t>
      </w:r>
      <w:r w:rsidR="007D4F84" w:rsidRPr="00BE6AD0">
        <w:rPr>
          <w:rFonts w:ascii="Times New Roman" w:hAnsi="Times New Roman"/>
          <w:b/>
          <w:bCs/>
          <w:szCs w:val="22"/>
          <w:lang w:val="de-DE"/>
        </w:rPr>
        <w:t xml:space="preserve"> </w:t>
      </w:r>
      <w:hyperlink r:id="rId9" w:history="1">
        <w:r w:rsidR="007D4F84" w:rsidRPr="00BE6AD0">
          <w:rPr>
            <w:rStyle w:val="af"/>
            <w:rFonts w:ascii="Times New Roman" w:hAnsi="Times New Roman"/>
            <w:b/>
            <w:bCs/>
            <w:szCs w:val="22"/>
            <w:lang w:val="de-DE"/>
          </w:rPr>
          <w:t>katya.bobro@gmail.com</w:t>
        </w:r>
      </w:hyperlink>
      <w:r w:rsidR="007D4F84" w:rsidRPr="00BE6AD0">
        <w:rPr>
          <w:rFonts w:ascii="Times New Roman" w:hAnsi="Times New Roman"/>
          <w:b/>
          <w:bCs/>
          <w:szCs w:val="22"/>
          <w:lang w:val="de-DE"/>
        </w:rPr>
        <w:t xml:space="preserve"> </w:t>
      </w:r>
    </w:p>
    <w:sectPr w:rsidR="009830E4" w:rsidRPr="00BE6AD0" w:rsidSect="008A4AA7">
      <w:headerReference w:type="default" r:id="rId10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5450" w14:textId="77777777" w:rsidR="0036364E" w:rsidRDefault="0036364E">
      <w:r>
        <w:separator/>
      </w:r>
    </w:p>
  </w:endnote>
  <w:endnote w:type="continuationSeparator" w:id="0">
    <w:p w14:paraId="798BF4FC" w14:textId="77777777" w:rsidR="0036364E" w:rsidRDefault="0036364E">
      <w:r>
        <w:rPr>
          <w:sz w:val="24"/>
        </w:rPr>
        <w:t xml:space="preserve"> </w:t>
      </w:r>
    </w:p>
  </w:endnote>
  <w:endnote w:type="continuationNotice" w:id="1">
    <w:p w14:paraId="54287BC5" w14:textId="77777777" w:rsidR="0036364E" w:rsidRDefault="0036364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1692" w14:textId="77777777" w:rsidR="0036364E" w:rsidRDefault="0036364E">
      <w:r>
        <w:rPr>
          <w:sz w:val="24"/>
        </w:rPr>
        <w:separator/>
      </w:r>
    </w:p>
  </w:footnote>
  <w:footnote w:type="continuationSeparator" w:id="0">
    <w:p w14:paraId="46B6B9C9" w14:textId="77777777" w:rsidR="0036364E" w:rsidRDefault="0036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21AA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F465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849E9"/>
    <w:multiLevelType w:val="hybridMultilevel"/>
    <w:tmpl w:val="4B6A7BA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6ED7"/>
    <w:multiLevelType w:val="hybridMultilevel"/>
    <w:tmpl w:val="E0026382"/>
    <w:lvl w:ilvl="0" w:tplc="10B0A1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74"/>
    <w:multiLevelType w:val="hybridMultilevel"/>
    <w:tmpl w:val="04E8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7685"/>
    <w:multiLevelType w:val="hybridMultilevel"/>
    <w:tmpl w:val="38742C6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037FA"/>
    <w:multiLevelType w:val="hybridMultilevel"/>
    <w:tmpl w:val="1FFA347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12BFC"/>
    <w:multiLevelType w:val="hybridMultilevel"/>
    <w:tmpl w:val="CC707A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3785B"/>
    <w:multiLevelType w:val="multilevel"/>
    <w:tmpl w:val="48C2C32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BA6E69"/>
    <w:multiLevelType w:val="hybridMultilevel"/>
    <w:tmpl w:val="BDC8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130D"/>
    <w:multiLevelType w:val="hybridMultilevel"/>
    <w:tmpl w:val="1DB630C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380EC7"/>
    <w:multiLevelType w:val="hybridMultilevel"/>
    <w:tmpl w:val="CA8E255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50C26"/>
    <w:multiLevelType w:val="hybridMultilevel"/>
    <w:tmpl w:val="A07A0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87A47"/>
    <w:multiLevelType w:val="hybridMultilevel"/>
    <w:tmpl w:val="9ACE58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B1776"/>
    <w:multiLevelType w:val="hybridMultilevel"/>
    <w:tmpl w:val="C79C2B0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93B6F"/>
    <w:multiLevelType w:val="hybridMultilevel"/>
    <w:tmpl w:val="1960B6C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81400"/>
    <w:multiLevelType w:val="hybridMultilevel"/>
    <w:tmpl w:val="F77AB68A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A6F4C"/>
    <w:multiLevelType w:val="hybridMultilevel"/>
    <w:tmpl w:val="2C90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73B73"/>
    <w:multiLevelType w:val="hybridMultilevel"/>
    <w:tmpl w:val="CA8E255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44381"/>
    <w:multiLevelType w:val="hybridMultilevel"/>
    <w:tmpl w:val="E3585862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27545"/>
    <w:multiLevelType w:val="hybridMultilevel"/>
    <w:tmpl w:val="6996241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E7DB9"/>
    <w:multiLevelType w:val="hybridMultilevel"/>
    <w:tmpl w:val="2506C26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A82D6C"/>
    <w:multiLevelType w:val="hybridMultilevel"/>
    <w:tmpl w:val="1B3A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561B2"/>
    <w:multiLevelType w:val="hybridMultilevel"/>
    <w:tmpl w:val="774E708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07CFB"/>
    <w:multiLevelType w:val="hybridMultilevel"/>
    <w:tmpl w:val="E334D2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3C5B2F"/>
    <w:multiLevelType w:val="hybridMultilevel"/>
    <w:tmpl w:val="763E864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E1C46"/>
    <w:multiLevelType w:val="hybridMultilevel"/>
    <w:tmpl w:val="CA8E255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F4352"/>
    <w:multiLevelType w:val="hybridMultilevel"/>
    <w:tmpl w:val="FEDCC12E"/>
    <w:lvl w:ilvl="0" w:tplc="664E30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520" w:hanging="360"/>
      </w:pPr>
    </w:lvl>
    <w:lvl w:ilvl="2" w:tplc="0C00001B" w:tentative="1">
      <w:start w:val="1"/>
      <w:numFmt w:val="lowerRoman"/>
      <w:lvlText w:val="%3."/>
      <w:lvlJc w:val="right"/>
      <w:pPr>
        <w:ind w:left="3240" w:hanging="180"/>
      </w:pPr>
    </w:lvl>
    <w:lvl w:ilvl="3" w:tplc="0C00000F" w:tentative="1">
      <w:start w:val="1"/>
      <w:numFmt w:val="decimal"/>
      <w:lvlText w:val="%4."/>
      <w:lvlJc w:val="left"/>
      <w:pPr>
        <w:ind w:left="3960" w:hanging="360"/>
      </w:pPr>
    </w:lvl>
    <w:lvl w:ilvl="4" w:tplc="0C000019" w:tentative="1">
      <w:start w:val="1"/>
      <w:numFmt w:val="lowerLetter"/>
      <w:lvlText w:val="%5."/>
      <w:lvlJc w:val="left"/>
      <w:pPr>
        <w:ind w:left="4680" w:hanging="360"/>
      </w:pPr>
    </w:lvl>
    <w:lvl w:ilvl="5" w:tplc="0C00001B" w:tentative="1">
      <w:start w:val="1"/>
      <w:numFmt w:val="lowerRoman"/>
      <w:lvlText w:val="%6."/>
      <w:lvlJc w:val="right"/>
      <w:pPr>
        <w:ind w:left="5400" w:hanging="180"/>
      </w:pPr>
    </w:lvl>
    <w:lvl w:ilvl="6" w:tplc="0C00000F" w:tentative="1">
      <w:start w:val="1"/>
      <w:numFmt w:val="decimal"/>
      <w:lvlText w:val="%7."/>
      <w:lvlJc w:val="left"/>
      <w:pPr>
        <w:ind w:left="6120" w:hanging="360"/>
      </w:pPr>
    </w:lvl>
    <w:lvl w:ilvl="7" w:tplc="0C000019" w:tentative="1">
      <w:start w:val="1"/>
      <w:numFmt w:val="lowerLetter"/>
      <w:lvlText w:val="%8."/>
      <w:lvlJc w:val="left"/>
      <w:pPr>
        <w:ind w:left="6840" w:hanging="360"/>
      </w:pPr>
    </w:lvl>
    <w:lvl w:ilvl="8" w:tplc="0C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73F4CD1"/>
    <w:multiLevelType w:val="hybridMultilevel"/>
    <w:tmpl w:val="56CE7D4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90468"/>
    <w:multiLevelType w:val="hybridMultilevel"/>
    <w:tmpl w:val="92BCDF4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5B4539EA"/>
    <w:multiLevelType w:val="hybridMultilevel"/>
    <w:tmpl w:val="0D6C66F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6205B6"/>
    <w:multiLevelType w:val="hybridMultilevel"/>
    <w:tmpl w:val="6AF6D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06B54"/>
    <w:multiLevelType w:val="hybridMultilevel"/>
    <w:tmpl w:val="A9EC6BE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44310"/>
    <w:multiLevelType w:val="hybridMultilevel"/>
    <w:tmpl w:val="19ECE6F8"/>
    <w:lvl w:ilvl="0" w:tplc="9D7ACC6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35CFC"/>
    <w:multiLevelType w:val="hybridMultilevel"/>
    <w:tmpl w:val="0BCAA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70F7E"/>
    <w:multiLevelType w:val="hybridMultilevel"/>
    <w:tmpl w:val="915298C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BB0D3D"/>
    <w:multiLevelType w:val="hybridMultilevel"/>
    <w:tmpl w:val="55AC1A4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753BE"/>
    <w:multiLevelType w:val="hybridMultilevel"/>
    <w:tmpl w:val="4554F58C"/>
    <w:lvl w:ilvl="0" w:tplc="9D7ACC6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2B6EE9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8C4D22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8A98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A44D8C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CE262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9BA23D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C304A6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7726BD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2"/>
  </w:num>
  <w:num w:numId="3">
    <w:abstractNumId w:val="28"/>
  </w:num>
  <w:num w:numId="4">
    <w:abstractNumId w:val="2"/>
  </w:num>
  <w:num w:numId="5">
    <w:abstractNumId w:val="23"/>
  </w:num>
  <w:num w:numId="6">
    <w:abstractNumId w:val="30"/>
  </w:num>
  <w:num w:numId="7">
    <w:abstractNumId w:val="6"/>
  </w:num>
  <w:num w:numId="8">
    <w:abstractNumId w:val="33"/>
  </w:num>
  <w:num w:numId="9">
    <w:abstractNumId w:val="8"/>
  </w:num>
  <w:num w:numId="10">
    <w:abstractNumId w:val="16"/>
  </w:num>
  <w:num w:numId="11">
    <w:abstractNumId w:val="3"/>
  </w:num>
  <w:num w:numId="12">
    <w:abstractNumId w:val="5"/>
  </w:num>
  <w:num w:numId="13">
    <w:abstractNumId w:val="34"/>
  </w:num>
  <w:num w:numId="14">
    <w:abstractNumId w:val="13"/>
  </w:num>
  <w:num w:numId="15">
    <w:abstractNumId w:val="11"/>
  </w:num>
  <w:num w:numId="16">
    <w:abstractNumId w:val="7"/>
  </w:num>
  <w:num w:numId="17">
    <w:abstractNumId w:val="20"/>
  </w:num>
  <w:num w:numId="18">
    <w:abstractNumId w:val="9"/>
  </w:num>
  <w:num w:numId="19">
    <w:abstractNumId w:val="29"/>
  </w:num>
  <w:num w:numId="20">
    <w:abstractNumId w:val="14"/>
  </w:num>
  <w:num w:numId="21">
    <w:abstractNumId w:val="18"/>
  </w:num>
  <w:num w:numId="22">
    <w:abstractNumId w:val="35"/>
  </w:num>
  <w:num w:numId="23">
    <w:abstractNumId w:val="0"/>
  </w:num>
  <w:num w:numId="24">
    <w:abstractNumId w:val="15"/>
  </w:num>
  <w:num w:numId="25">
    <w:abstractNumId w:val="31"/>
  </w:num>
  <w:num w:numId="26">
    <w:abstractNumId w:val="1"/>
  </w:num>
  <w:num w:numId="27">
    <w:abstractNumId w:val="19"/>
  </w:num>
  <w:num w:numId="28">
    <w:abstractNumId w:val="12"/>
  </w:num>
  <w:num w:numId="29">
    <w:abstractNumId w:val="21"/>
  </w:num>
  <w:num w:numId="30">
    <w:abstractNumId w:val="26"/>
  </w:num>
  <w:num w:numId="31">
    <w:abstractNumId w:val="4"/>
  </w:num>
  <w:num w:numId="32">
    <w:abstractNumId w:val="27"/>
  </w:num>
  <w:num w:numId="33">
    <w:abstractNumId w:val="22"/>
  </w:num>
  <w:num w:numId="34">
    <w:abstractNumId w:val="25"/>
  </w:num>
  <w:num w:numId="35">
    <w:abstractNumId w:val="10"/>
  </w:num>
  <w:num w:numId="36">
    <w:abstractNumId w:val="1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26BA1"/>
    <w:rsid w:val="000447BE"/>
    <w:rsid w:val="000536E5"/>
    <w:rsid w:val="0007139E"/>
    <w:rsid w:val="00095418"/>
    <w:rsid w:val="000A4184"/>
    <w:rsid w:val="000C0EC0"/>
    <w:rsid w:val="000C4041"/>
    <w:rsid w:val="001143C8"/>
    <w:rsid w:val="00137802"/>
    <w:rsid w:val="00140D77"/>
    <w:rsid w:val="00146D68"/>
    <w:rsid w:val="001944CA"/>
    <w:rsid w:val="00196614"/>
    <w:rsid w:val="001B0D84"/>
    <w:rsid w:val="001C4752"/>
    <w:rsid w:val="001D70EB"/>
    <w:rsid w:val="001E26CB"/>
    <w:rsid w:val="00210479"/>
    <w:rsid w:val="00211DE0"/>
    <w:rsid w:val="00220153"/>
    <w:rsid w:val="00226C21"/>
    <w:rsid w:val="00232332"/>
    <w:rsid w:val="00237D88"/>
    <w:rsid w:val="002727A9"/>
    <w:rsid w:val="002C4377"/>
    <w:rsid w:val="002C589A"/>
    <w:rsid w:val="002D0B18"/>
    <w:rsid w:val="00303DA6"/>
    <w:rsid w:val="00305D27"/>
    <w:rsid w:val="00351CCB"/>
    <w:rsid w:val="00357959"/>
    <w:rsid w:val="0036364E"/>
    <w:rsid w:val="00372355"/>
    <w:rsid w:val="003942A7"/>
    <w:rsid w:val="00394CE1"/>
    <w:rsid w:val="003B0ADD"/>
    <w:rsid w:val="003C4129"/>
    <w:rsid w:val="003F55B5"/>
    <w:rsid w:val="004011E2"/>
    <w:rsid w:val="004019F6"/>
    <w:rsid w:val="00420CE8"/>
    <w:rsid w:val="00436995"/>
    <w:rsid w:val="00447B7B"/>
    <w:rsid w:val="0045205A"/>
    <w:rsid w:val="00462F6A"/>
    <w:rsid w:val="0047784E"/>
    <w:rsid w:val="00485387"/>
    <w:rsid w:val="004A5E02"/>
    <w:rsid w:val="004C3F92"/>
    <w:rsid w:val="004E721D"/>
    <w:rsid w:val="004E7EE3"/>
    <w:rsid w:val="005352B0"/>
    <w:rsid w:val="00561114"/>
    <w:rsid w:val="00564088"/>
    <w:rsid w:val="005713E4"/>
    <w:rsid w:val="005742CF"/>
    <w:rsid w:val="00590A66"/>
    <w:rsid w:val="00593053"/>
    <w:rsid w:val="005A0276"/>
    <w:rsid w:val="00684E8F"/>
    <w:rsid w:val="006C7DA7"/>
    <w:rsid w:val="006D412D"/>
    <w:rsid w:val="006D6898"/>
    <w:rsid w:val="006F3706"/>
    <w:rsid w:val="0072326D"/>
    <w:rsid w:val="007301D7"/>
    <w:rsid w:val="007649CF"/>
    <w:rsid w:val="007677FD"/>
    <w:rsid w:val="00785CA1"/>
    <w:rsid w:val="007C7B8B"/>
    <w:rsid w:val="007D4F84"/>
    <w:rsid w:val="007D59F6"/>
    <w:rsid w:val="00815A78"/>
    <w:rsid w:val="008174CB"/>
    <w:rsid w:val="00825B5C"/>
    <w:rsid w:val="0083275E"/>
    <w:rsid w:val="00837BCC"/>
    <w:rsid w:val="008667C9"/>
    <w:rsid w:val="00876940"/>
    <w:rsid w:val="0088524C"/>
    <w:rsid w:val="008929AC"/>
    <w:rsid w:val="008A4AA7"/>
    <w:rsid w:val="008A5D0F"/>
    <w:rsid w:val="008B776E"/>
    <w:rsid w:val="008D38F1"/>
    <w:rsid w:val="008E09E0"/>
    <w:rsid w:val="008F2097"/>
    <w:rsid w:val="00916E24"/>
    <w:rsid w:val="0092546E"/>
    <w:rsid w:val="00930D65"/>
    <w:rsid w:val="00944569"/>
    <w:rsid w:val="00945686"/>
    <w:rsid w:val="00956349"/>
    <w:rsid w:val="009830E4"/>
    <w:rsid w:val="00990B8A"/>
    <w:rsid w:val="009A68A1"/>
    <w:rsid w:val="009C3C43"/>
    <w:rsid w:val="009C747E"/>
    <w:rsid w:val="009D2B38"/>
    <w:rsid w:val="00A05A45"/>
    <w:rsid w:val="00A105A4"/>
    <w:rsid w:val="00A72F01"/>
    <w:rsid w:val="00A90DFA"/>
    <w:rsid w:val="00AA512A"/>
    <w:rsid w:val="00AB71C1"/>
    <w:rsid w:val="00B11073"/>
    <w:rsid w:val="00B15253"/>
    <w:rsid w:val="00B20153"/>
    <w:rsid w:val="00B3630A"/>
    <w:rsid w:val="00B7008F"/>
    <w:rsid w:val="00BA4299"/>
    <w:rsid w:val="00BC1BB9"/>
    <w:rsid w:val="00BD14B2"/>
    <w:rsid w:val="00BD6CBC"/>
    <w:rsid w:val="00BE6AD0"/>
    <w:rsid w:val="00BF7B8E"/>
    <w:rsid w:val="00C219D5"/>
    <w:rsid w:val="00C24DF1"/>
    <w:rsid w:val="00C521B8"/>
    <w:rsid w:val="00C55D76"/>
    <w:rsid w:val="00C70D43"/>
    <w:rsid w:val="00C87F64"/>
    <w:rsid w:val="00CD158A"/>
    <w:rsid w:val="00CD2F7F"/>
    <w:rsid w:val="00D12616"/>
    <w:rsid w:val="00D14879"/>
    <w:rsid w:val="00D24F28"/>
    <w:rsid w:val="00D35A53"/>
    <w:rsid w:val="00D51573"/>
    <w:rsid w:val="00D55F6B"/>
    <w:rsid w:val="00D66483"/>
    <w:rsid w:val="00D8414F"/>
    <w:rsid w:val="00D95025"/>
    <w:rsid w:val="00DA15DD"/>
    <w:rsid w:val="00DB57E7"/>
    <w:rsid w:val="00DD7362"/>
    <w:rsid w:val="00DF4F57"/>
    <w:rsid w:val="00E07E32"/>
    <w:rsid w:val="00E27205"/>
    <w:rsid w:val="00E96D45"/>
    <w:rsid w:val="00EA1988"/>
    <w:rsid w:val="00EB5460"/>
    <w:rsid w:val="00EC50B8"/>
    <w:rsid w:val="00EC5970"/>
    <w:rsid w:val="00ED3A09"/>
    <w:rsid w:val="00F17486"/>
    <w:rsid w:val="00F63325"/>
    <w:rsid w:val="00F67564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BF060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A4AA7"/>
    <w:rPr>
      <w:rFonts w:ascii="CG Times" w:hAnsi="CG Times"/>
      <w:sz w:val="22"/>
    </w:rPr>
  </w:style>
  <w:style w:type="paragraph" w:styleId="1">
    <w:name w:val="heading 1"/>
    <w:basedOn w:val="a0"/>
    <w:next w:val="a0"/>
    <w:link w:val="10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0"/>
    <w:next w:val="a0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0"/>
    <w:next w:val="a0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0"/>
    <w:next w:val="a0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0"/>
    <w:next w:val="a0"/>
    <w:qFormat/>
    <w:rsid w:val="008A4AA7"/>
    <w:pPr>
      <w:tabs>
        <w:tab w:val="left" w:pos="-720"/>
      </w:tabs>
      <w:suppressAutoHyphens/>
      <w:outlineLvl w:val="4"/>
    </w:pPr>
  </w:style>
  <w:style w:type="paragraph" w:styleId="6">
    <w:name w:val="heading 6"/>
    <w:basedOn w:val="a0"/>
    <w:next w:val="a0"/>
    <w:qFormat/>
    <w:rsid w:val="008A4AA7"/>
    <w:pPr>
      <w:tabs>
        <w:tab w:val="left" w:pos="-720"/>
      </w:tabs>
      <w:suppressAutoHyphens/>
      <w:outlineLvl w:val="5"/>
    </w:pPr>
  </w:style>
  <w:style w:type="paragraph" w:styleId="7">
    <w:name w:val="heading 7"/>
    <w:basedOn w:val="a0"/>
    <w:next w:val="a0"/>
    <w:qFormat/>
    <w:rsid w:val="008A4AA7"/>
    <w:pPr>
      <w:tabs>
        <w:tab w:val="left" w:pos="-720"/>
      </w:tabs>
      <w:suppressAutoHyphens/>
      <w:outlineLvl w:val="6"/>
    </w:pPr>
  </w:style>
  <w:style w:type="paragraph" w:styleId="8">
    <w:name w:val="heading 8"/>
    <w:basedOn w:val="a0"/>
    <w:next w:val="a0"/>
    <w:qFormat/>
    <w:rsid w:val="008A4AA7"/>
    <w:pPr>
      <w:tabs>
        <w:tab w:val="left" w:pos="-720"/>
      </w:tabs>
      <w:suppressAutoHyphens/>
      <w:outlineLvl w:val="7"/>
    </w:pPr>
  </w:style>
  <w:style w:type="paragraph" w:styleId="9">
    <w:name w:val="heading 9"/>
    <w:basedOn w:val="a0"/>
    <w:next w:val="a0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">
    <w:name w:val="Default Paragraph Fo"/>
    <w:basedOn w:val="a1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4">
    <w:name w:val="footer"/>
    <w:basedOn w:val="a0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a5">
    <w:name w:val="footnote reference"/>
    <w:aliases w:val="ftref,Footnote Reference Number,Footnote Reference_LVL6,Footnote Reference_LVL61,Footnote Reference_LVL62,Footnote Reference_LVL63,Footnote Reference_LVL64,16 Point,Superscript 6 Point,Знак сноски-FN,Footnote Reference Superscript,BVI fnr,FO"/>
    <w:basedOn w:val="a1"/>
    <w:link w:val="Ref"/>
    <w:qFormat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a6">
    <w:name w:val="footnote text"/>
    <w:aliases w:val="single space,FOOTNOTES,fn,footnote text,ft,Footnote,12pt,ADB,Geneva 9,Font: Geneva 9,Boston 10,f,Footnote Text Char2 Char,Footnote Text Char1 Char Char,Footnote Text Char2 Char Char Char,Footno,AD,A,pod carou,Fodnotetek"/>
    <w:basedOn w:val="a0"/>
    <w:link w:val="a7"/>
    <w:semiHidden/>
    <w:qFormat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8">
    <w:name w:val="header"/>
    <w:basedOn w:val="a0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9">
    <w:name w:val="Normal Indent"/>
    <w:basedOn w:val="a0"/>
    <w:qFormat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0"/>
    <w:next w:val="a0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0"/>
    <w:next w:val="a0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0"/>
    <w:next w:val="a0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0"/>
    <w:next w:val="a0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0"/>
    <w:next w:val="a0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0"/>
    <w:next w:val="a0"/>
    <w:semiHidden/>
    <w:rsid w:val="008A4AA7"/>
    <w:pPr>
      <w:suppressAutoHyphens/>
      <w:ind w:left="720" w:hanging="720"/>
    </w:pPr>
  </w:style>
  <w:style w:type="paragraph" w:styleId="80">
    <w:name w:val="toc 8"/>
    <w:basedOn w:val="a0"/>
    <w:next w:val="a0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0"/>
    <w:next w:val="a0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a">
    <w:name w:val="endnote text"/>
    <w:basedOn w:val="a0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b">
    <w:name w:val="endnote reference"/>
    <w:basedOn w:val="a1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11">
    <w:name w:val="toc 1"/>
    <w:basedOn w:val="a0"/>
    <w:next w:val="a0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2">
    <w:name w:val="index 1"/>
    <w:basedOn w:val="a0"/>
    <w:next w:val="a0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0"/>
    <w:next w:val="a0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c">
    <w:name w:val="toa heading"/>
    <w:basedOn w:val="a0"/>
    <w:next w:val="a0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ad">
    <w:name w:val="caption"/>
    <w:basedOn w:val="a0"/>
    <w:next w:val="a0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ae">
    <w:name w:val="Body Text"/>
    <w:basedOn w:val="a0"/>
    <w:semiHidden/>
    <w:rsid w:val="008A4AA7"/>
    <w:pPr>
      <w:suppressAutoHyphens/>
    </w:pPr>
    <w:rPr>
      <w:spacing w:val="-2"/>
      <w:sz w:val="24"/>
    </w:rPr>
  </w:style>
  <w:style w:type="character" w:styleId="af">
    <w:name w:val="Hyperlink"/>
    <w:basedOn w:val="a1"/>
    <w:semiHidden/>
    <w:rsid w:val="008A4AA7"/>
    <w:rPr>
      <w:color w:val="0000FF"/>
      <w:u w:val="single"/>
    </w:rPr>
  </w:style>
  <w:style w:type="character" w:styleId="af0">
    <w:name w:val="annotation reference"/>
    <w:basedOn w:val="a1"/>
    <w:uiPriority w:val="99"/>
    <w:semiHidden/>
    <w:unhideWhenUsed/>
    <w:rsid w:val="00E07E32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E07E32"/>
    <w:rPr>
      <w:sz w:val="20"/>
    </w:rPr>
  </w:style>
  <w:style w:type="character" w:customStyle="1" w:styleId="af2">
    <w:name w:val="Текст примечания Знак"/>
    <w:basedOn w:val="a1"/>
    <w:link w:val="af1"/>
    <w:uiPriority w:val="99"/>
    <w:rsid w:val="00E07E32"/>
    <w:rPr>
      <w:rFonts w:ascii="CG Times" w:hAnsi="CG Time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7E3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07E32"/>
    <w:rPr>
      <w:rFonts w:ascii="CG Times" w:hAnsi="CG Times"/>
      <w:b/>
      <w:bCs/>
    </w:rPr>
  </w:style>
  <w:style w:type="paragraph" w:styleId="af5">
    <w:name w:val="Balloon Text"/>
    <w:basedOn w:val="a0"/>
    <w:link w:val="af6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af7">
    <w:name w:val="FollowedHyperlink"/>
    <w:basedOn w:val="a1"/>
    <w:uiPriority w:val="99"/>
    <w:semiHidden/>
    <w:unhideWhenUsed/>
    <w:rsid w:val="00DA15DD"/>
    <w:rPr>
      <w:color w:val="800080" w:themeColor="followedHyperlink"/>
      <w:u w:val="single"/>
    </w:rPr>
  </w:style>
  <w:style w:type="character" w:styleId="af8">
    <w:name w:val="Unresolved Mention"/>
    <w:basedOn w:val="a1"/>
    <w:uiPriority w:val="99"/>
    <w:semiHidden/>
    <w:unhideWhenUsed/>
    <w:rsid w:val="00A105A4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7649CF"/>
    <w:rPr>
      <w:b/>
      <w:smallCaps/>
      <w:sz w:val="32"/>
    </w:rPr>
  </w:style>
  <w:style w:type="paragraph" w:customStyle="1" w:styleId="Default">
    <w:name w:val="Default"/>
    <w:rsid w:val="007232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a1"/>
    <w:rsid w:val="0072326D"/>
  </w:style>
  <w:style w:type="character" w:customStyle="1" w:styleId="eop">
    <w:name w:val="eop"/>
    <w:basedOn w:val="a1"/>
    <w:rsid w:val="0072326D"/>
  </w:style>
  <w:style w:type="paragraph" w:customStyle="1" w:styleId="paragraph">
    <w:name w:val="paragraph"/>
    <w:basedOn w:val="a0"/>
    <w:rsid w:val="007232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DE" w:eastAsia="de-DE"/>
    </w:rPr>
  </w:style>
  <w:style w:type="paragraph" w:styleId="af9">
    <w:name w:val="List Paragraph"/>
    <w:aliases w:val="List_Paragraph,Multilevel para_II,List Paragraph1,Akapit z listą BS,List Paragraph 1,Bullets,References,List Paragraph (numbered (a)),IBL List Paragraph,List Paragraph nowy,Numbered List Paragraph,List Paragraph-ExecSummary,Liste 1,lp1,Ha"/>
    <w:basedOn w:val="a0"/>
    <w:link w:val="afa"/>
    <w:uiPriority w:val="1"/>
    <w:qFormat/>
    <w:rsid w:val="003F55B5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a">
    <w:name w:val="Абзац списка Знак"/>
    <w:aliases w:val="List_Paragraph Знак,Multilevel para_II Знак,List Paragraph1 Знак,Akapit z listą BS Знак,List Paragraph 1 Знак,Bullets Знак,References Знак,List Paragraph (numbered (a)) Знак,IBL List Paragraph Знак,List Paragraph nowy Знак,Liste 1 Знак"/>
    <w:link w:val="af9"/>
    <w:uiPriority w:val="34"/>
    <w:qFormat/>
    <w:locked/>
    <w:rsid w:val="003F55B5"/>
    <w:rPr>
      <w:sz w:val="24"/>
      <w:szCs w:val="24"/>
    </w:rPr>
  </w:style>
  <w:style w:type="character" w:customStyle="1" w:styleId="ui-provider">
    <w:name w:val="ui-provider"/>
    <w:basedOn w:val="a1"/>
    <w:rsid w:val="003F55B5"/>
  </w:style>
  <w:style w:type="character" w:customStyle="1" w:styleId="a7">
    <w:name w:val="Текст сноски Знак"/>
    <w:aliases w:val="single space Знак,FOOTNOTES Знак,fn Знак,footnote text Знак,ft Знак,Footnote Знак,12pt Знак,ADB Знак,Geneva 9 Знак,Font: Geneva 9 Знак,Boston 10 Знак,f Знак,Footnote Text Char2 Char Знак,Footnote Text Char1 Char Char Знак,Footno Знак"/>
    <w:basedOn w:val="a1"/>
    <w:link w:val="a6"/>
    <w:semiHidden/>
    <w:locked/>
    <w:rsid w:val="00E96D45"/>
  </w:style>
  <w:style w:type="paragraph" w:customStyle="1" w:styleId="Ref">
    <w:name w:val="Ref"/>
    <w:aliases w:val="(NECG) Footnote Reference,Footnote Ref in FtNote,Fußnotenzeichen DISS,de nota al pie,fr Char Char,fr Char Char Char,ftref Char Char,ftref Char1 Char Char"/>
    <w:basedOn w:val="a0"/>
    <w:link w:val="a5"/>
    <w:uiPriority w:val="99"/>
    <w:rsid w:val="00E96D45"/>
    <w:pPr>
      <w:spacing w:after="160" w:line="240" w:lineRule="exact"/>
      <w:jc w:val="both"/>
    </w:pPr>
    <w:rPr>
      <w:vertAlign w:val="superscript"/>
    </w:rPr>
  </w:style>
  <w:style w:type="paragraph" w:styleId="afb">
    <w:name w:val="Normal (Web)"/>
    <w:basedOn w:val="a0"/>
    <w:uiPriority w:val="99"/>
    <w:semiHidden/>
    <w:unhideWhenUsed/>
    <w:rsid w:val="006D412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942A7"/>
    <w:pPr>
      <w:numPr>
        <w:numId w:val="23"/>
      </w:numPr>
      <w:spacing w:after="160" w:line="259" w:lineRule="auto"/>
      <w:contextualSpacing/>
    </w:pPr>
    <w:rPr>
      <w:rFonts w:asciiTheme="minorHAnsi" w:eastAsiaTheme="minorHAnsi" w:hAnsiTheme="minorHAnsi" w:cstheme="minorBidi"/>
      <w:kern w:val="2"/>
      <w:szCs w:val="22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iumof.t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ya.bob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CE01-FBF5-47BF-B942-7A0BB96A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INDIVIDUAL PROCUREMENT NOTICE</vt:lpstr>
      <vt:lpstr>SAMPLE FORMAT FOR INDIVIDUAL PROCUREMENT NOTICE</vt:lpstr>
    </vt:vector>
  </TitlesOfParts>
  <Company>The World Bank</Company>
  <LinksUpToDate>false</LinksUpToDate>
  <CharactersWithSpaces>9069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Katya Bobro</cp:lastModifiedBy>
  <cp:revision>37</cp:revision>
  <cp:lastPrinted>2017-08-01T14:35:00Z</cp:lastPrinted>
  <dcterms:created xsi:type="dcterms:W3CDTF">2022-10-21T11:18:00Z</dcterms:created>
  <dcterms:modified xsi:type="dcterms:W3CDTF">2024-01-23T13:42:00Z</dcterms:modified>
</cp:coreProperties>
</file>